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031" w:rsidRDefault="00F92031" w:rsidP="00F92031">
      <w:pPr>
        <w:widowControl w:val="0"/>
        <w:jc w:val="center"/>
      </w:pPr>
      <w:r w:rsidRPr="00F92031">
        <w:rPr>
          <w:b/>
        </w:rPr>
        <w:t>South Carolina General Assembly</w:t>
      </w:r>
    </w:p>
    <w:p w:rsidR="00F92031" w:rsidRDefault="00F92031" w:rsidP="00F92031">
      <w:pPr>
        <w:widowControl w:val="0"/>
        <w:jc w:val="center"/>
      </w:pPr>
      <w:r>
        <w:t>123rd Session, 2019-2020</w:t>
      </w:r>
    </w:p>
    <w:p w:rsidR="00F92031" w:rsidRDefault="00F92031" w:rsidP="00F92031">
      <w:pPr>
        <w:widowControl w:val="0"/>
        <w:jc w:val="left"/>
      </w:pPr>
    </w:p>
    <w:p w:rsidR="00F92031" w:rsidRDefault="00F92031" w:rsidP="00F92031">
      <w:pPr>
        <w:widowControl w:val="0"/>
        <w:jc w:val="left"/>
        <w:rPr>
          <w:b/>
        </w:rPr>
      </w:pPr>
      <w:r w:rsidRPr="00F92031">
        <w:rPr>
          <w:b/>
        </w:rPr>
        <w:t>H. 3844</w:t>
      </w:r>
    </w:p>
    <w:p w:rsidR="00F92031" w:rsidRDefault="00F92031" w:rsidP="00F92031">
      <w:pPr>
        <w:widowControl w:val="0"/>
        <w:jc w:val="left"/>
        <w:rPr>
          <w:b/>
        </w:rPr>
      </w:pPr>
    </w:p>
    <w:p w:rsidR="00F92031" w:rsidRDefault="00F92031" w:rsidP="00F92031">
      <w:pPr>
        <w:widowControl w:val="0"/>
        <w:jc w:val="left"/>
      </w:pPr>
      <w:r w:rsidRPr="00F92031">
        <w:rPr>
          <w:b/>
        </w:rPr>
        <w:t>STATUS INFORMATION</w:t>
      </w:r>
    </w:p>
    <w:p w:rsidR="00F92031" w:rsidRDefault="00F92031" w:rsidP="00F92031">
      <w:pPr>
        <w:widowControl w:val="0"/>
        <w:jc w:val="left"/>
      </w:pPr>
    </w:p>
    <w:p w:rsidR="00F92031" w:rsidRDefault="00F92031" w:rsidP="00F92031">
      <w:pPr>
        <w:widowControl w:val="0"/>
        <w:jc w:val="left"/>
      </w:pPr>
      <w:r>
        <w:t>General Bill</w:t>
      </w:r>
    </w:p>
    <w:p w:rsidR="00F92031" w:rsidRDefault="005E1B6D" w:rsidP="00F92031">
      <w:pPr>
        <w:widowControl w:val="0"/>
        <w:jc w:val="left"/>
      </w:pPr>
      <w:r>
        <w:t>Sponsors: Reps. Rutherford and Rose</w:t>
      </w:r>
    </w:p>
    <w:p w:rsidR="00F92031" w:rsidRDefault="00F92031" w:rsidP="00F92031">
      <w:pPr>
        <w:widowControl w:val="0"/>
        <w:jc w:val="left"/>
      </w:pPr>
      <w:r>
        <w:t>Document Path: l:\council\bills\cc\15503vr19.docx</w:t>
      </w:r>
    </w:p>
    <w:p w:rsidR="00A8474F" w:rsidRDefault="00A8474F" w:rsidP="00F92031">
      <w:pPr>
        <w:widowControl w:val="0"/>
        <w:jc w:val="left"/>
      </w:pPr>
      <w:r>
        <w:t>Companion/Similar bill(s): 448</w:t>
      </w:r>
    </w:p>
    <w:p w:rsidR="00F92031" w:rsidRDefault="00F92031" w:rsidP="00F92031">
      <w:pPr>
        <w:widowControl w:val="0"/>
        <w:jc w:val="left"/>
      </w:pPr>
    </w:p>
    <w:p w:rsidR="00F92031" w:rsidRDefault="00F92031" w:rsidP="00F92031">
      <w:pPr>
        <w:widowControl w:val="0"/>
        <w:jc w:val="left"/>
      </w:pPr>
      <w:r>
        <w:t>Introduced in the House on February 5, 2019</w:t>
      </w:r>
    </w:p>
    <w:p w:rsidR="00F92031" w:rsidRDefault="00F92031" w:rsidP="00F92031">
      <w:pPr>
        <w:widowControl w:val="0"/>
        <w:jc w:val="left"/>
      </w:pPr>
      <w:r>
        <w:t xml:space="preserve">Currently residing in the House Committee on </w:t>
      </w:r>
      <w:r w:rsidRPr="00F92031">
        <w:rPr>
          <w:b/>
        </w:rPr>
        <w:t>Medical, Military, Public and Municipal Affairs</w:t>
      </w:r>
    </w:p>
    <w:p w:rsidR="00F92031" w:rsidRDefault="00F92031" w:rsidP="00F92031">
      <w:pPr>
        <w:widowControl w:val="0"/>
        <w:jc w:val="left"/>
      </w:pPr>
    </w:p>
    <w:p w:rsidR="00F92031" w:rsidRDefault="00F92031" w:rsidP="00F92031">
      <w:pPr>
        <w:widowControl w:val="0"/>
        <w:jc w:val="left"/>
      </w:pPr>
      <w:r>
        <w:t xml:space="preserve">Summary: </w:t>
      </w:r>
      <w:r w:rsidR="0060176D">
        <w:t>Pharmacy Access Act</w:t>
      </w:r>
    </w:p>
    <w:p w:rsidR="00F92031" w:rsidRDefault="00F92031" w:rsidP="00F92031">
      <w:pPr>
        <w:widowControl w:val="0"/>
        <w:jc w:val="left"/>
      </w:pPr>
    </w:p>
    <w:p w:rsidR="00F92031" w:rsidRDefault="00F92031" w:rsidP="00F92031">
      <w:pPr>
        <w:widowControl w:val="0"/>
        <w:jc w:val="left"/>
      </w:pPr>
    </w:p>
    <w:p w:rsidR="00F92031" w:rsidRDefault="00F92031" w:rsidP="00F92031">
      <w:pPr>
        <w:widowControl w:val="0"/>
        <w:tabs>
          <w:tab w:val="center" w:pos="590"/>
          <w:tab w:val="center" w:pos="1440"/>
          <w:tab w:val="left" w:pos="1872"/>
          <w:tab w:val="left" w:pos="9187"/>
        </w:tabs>
        <w:jc w:val="left"/>
      </w:pPr>
      <w:r w:rsidRPr="00F92031">
        <w:rPr>
          <w:b/>
        </w:rPr>
        <w:t>HISTORY OF LEGISLATIVE ACTIONS</w:t>
      </w:r>
    </w:p>
    <w:p w:rsidR="00F92031" w:rsidRDefault="00F92031" w:rsidP="00F92031">
      <w:pPr>
        <w:widowControl w:val="0"/>
        <w:tabs>
          <w:tab w:val="center" w:pos="590"/>
          <w:tab w:val="center" w:pos="1440"/>
          <w:tab w:val="left" w:pos="1872"/>
          <w:tab w:val="left" w:pos="9187"/>
        </w:tabs>
        <w:jc w:val="left"/>
      </w:pPr>
    </w:p>
    <w:p w:rsidR="00F92031" w:rsidRPr="00F92031" w:rsidRDefault="00F92031" w:rsidP="00F92031">
      <w:pPr>
        <w:widowControl w:val="0"/>
        <w:tabs>
          <w:tab w:val="center" w:pos="590"/>
          <w:tab w:val="center" w:pos="1440"/>
          <w:tab w:val="left" w:pos="1872"/>
          <w:tab w:val="left" w:pos="9187"/>
        </w:tabs>
        <w:jc w:val="left"/>
      </w:pPr>
      <w:r w:rsidRPr="00F92031">
        <w:rPr>
          <w:u w:val="single"/>
        </w:rPr>
        <w:tab/>
        <w:t>Date</w:t>
      </w:r>
      <w:r w:rsidRPr="00F92031">
        <w:rPr>
          <w:u w:val="single"/>
        </w:rPr>
        <w:tab/>
        <w:t>Body</w:t>
      </w:r>
      <w:r w:rsidRPr="00F92031">
        <w:rPr>
          <w:u w:val="single"/>
        </w:rPr>
        <w:tab/>
        <w:t>Action Description with journal page number</w:t>
      </w:r>
      <w:r w:rsidRPr="00F92031">
        <w:rPr>
          <w:u w:val="single"/>
        </w:rPr>
        <w:tab/>
      </w:r>
    </w:p>
    <w:p w:rsidR="005E1B6D" w:rsidRDefault="005E1B6D" w:rsidP="005E1B6D">
      <w:pPr>
        <w:widowControl w:val="0"/>
        <w:tabs>
          <w:tab w:val="right" w:pos="1008"/>
          <w:tab w:val="left" w:pos="1152"/>
          <w:tab w:val="left" w:pos="1872"/>
          <w:tab w:val="left" w:pos="9187"/>
        </w:tabs>
        <w:ind w:left="2088" w:hanging="2088"/>
      </w:pPr>
      <w:r>
        <w:tab/>
        <w:t>2/5/2019</w:t>
      </w:r>
      <w:r>
        <w:tab/>
        <w:t>House</w:t>
      </w:r>
      <w:r>
        <w:tab/>
      </w:r>
      <w:r w:rsidRPr="002C2C68">
        <w:t>Introduced and read first time (</w:t>
      </w:r>
      <w:hyperlink r:id="rId7" w:history="1">
        <w:r w:rsidRPr="002C2C68">
          <w:rPr>
            <w:rStyle w:val="Hyperlink"/>
          </w:rPr>
          <w:t>House Journal</w:t>
        </w:r>
        <w:r w:rsidRPr="002C2C68">
          <w:rPr>
            <w:rStyle w:val="Hyperlink"/>
          </w:rPr>
          <w:noBreakHyphen/>
          <w:t>page 25</w:t>
        </w:r>
      </w:hyperlink>
      <w:r w:rsidRPr="002C2C68">
        <w:t>)</w:t>
      </w:r>
    </w:p>
    <w:p w:rsidR="005E1B6D" w:rsidRDefault="005E1B6D" w:rsidP="005E1B6D">
      <w:pPr>
        <w:widowControl w:val="0"/>
        <w:tabs>
          <w:tab w:val="right" w:pos="1008"/>
          <w:tab w:val="left" w:pos="1152"/>
          <w:tab w:val="left" w:pos="1872"/>
          <w:tab w:val="left" w:pos="9187"/>
        </w:tabs>
        <w:ind w:left="2088" w:hanging="2088"/>
      </w:pPr>
      <w:r>
        <w:tab/>
        <w:t>2/5/2019</w:t>
      </w:r>
      <w:r>
        <w:tab/>
        <w:t>House</w:t>
      </w:r>
      <w:r>
        <w:tab/>
      </w:r>
      <w:r w:rsidRPr="002C2C68">
        <w:t xml:space="preserve">Referred to </w:t>
      </w:r>
      <w:r>
        <w:t xml:space="preserve">Committee on </w:t>
      </w:r>
      <w:r w:rsidRPr="002C2C68">
        <w:rPr>
          <w:b/>
        </w:rPr>
        <w:t>Medical, Military, Public and Municipal Affairs</w:t>
      </w:r>
      <w:r w:rsidRPr="002C2C68">
        <w:t xml:space="preserve"> (</w:t>
      </w:r>
      <w:hyperlink r:id="rId8" w:history="1">
        <w:r w:rsidRPr="002C2C68">
          <w:rPr>
            <w:rStyle w:val="Hyperlink"/>
          </w:rPr>
          <w:t>House Journal</w:t>
        </w:r>
        <w:r w:rsidRPr="002C2C68">
          <w:rPr>
            <w:rStyle w:val="Hyperlink"/>
          </w:rPr>
          <w:noBreakHyphen/>
          <w:t>page 25</w:t>
        </w:r>
      </w:hyperlink>
      <w:r w:rsidRPr="002C2C68">
        <w:t>)</w:t>
      </w:r>
    </w:p>
    <w:p w:rsidR="005E1B6D" w:rsidRDefault="005E1B6D" w:rsidP="005E1B6D">
      <w:pPr>
        <w:widowControl w:val="0"/>
        <w:tabs>
          <w:tab w:val="right" w:pos="1008"/>
          <w:tab w:val="left" w:pos="1152"/>
          <w:tab w:val="left" w:pos="1872"/>
          <w:tab w:val="left" w:pos="9187"/>
        </w:tabs>
        <w:ind w:left="2088" w:hanging="2088"/>
      </w:pPr>
      <w:r>
        <w:tab/>
        <w:t>3/11/2019</w:t>
      </w:r>
      <w:r>
        <w:tab/>
        <w:t>House</w:t>
      </w:r>
      <w:r>
        <w:tab/>
      </w:r>
      <w:r w:rsidRPr="002C2C68">
        <w:t>Member(s) request name added as sponsor: Rose</w:t>
      </w:r>
    </w:p>
    <w:p w:rsidR="005E1B6D" w:rsidRDefault="005E1B6D" w:rsidP="005E1B6D">
      <w:pPr>
        <w:widowControl w:val="0"/>
        <w:tabs>
          <w:tab w:val="right" w:pos="1008"/>
          <w:tab w:val="left" w:pos="1152"/>
          <w:tab w:val="left" w:pos="1872"/>
          <w:tab w:val="left" w:pos="9187"/>
        </w:tabs>
        <w:ind w:left="2088" w:hanging="2088"/>
      </w:pPr>
    </w:p>
    <w:p w:rsidR="00F92031" w:rsidRDefault="00F92031" w:rsidP="00F920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2031">
          <w:rPr>
            <w:rStyle w:val="Hyperlink"/>
          </w:rPr>
          <w:t>legislative information</w:t>
        </w:r>
      </w:hyperlink>
      <w:r>
        <w:t xml:space="preserve"> at the website</w:t>
      </w:r>
    </w:p>
    <w:p w:rsidR="00F92031" w:rsidRDefault="00F92031" w:rsidP="00F92031">
      <w:pPr>
        <w:widowControl w:val="0"/>
        <w:tabs>
          <w:tab w:val="right" w:pos="1008"/>
          <w:tab w:val="left" w:pos="1152"/>
          <w:tab w:val="left" w:pos="1872"/>
          <w:tab w:val="left" w:pos="9187"/>
        </w:tabs>
        <w:ind w:left="2088" w:hanging="2088"/>
        <w:jc w:val="left"/>
      </w:pPr>
    </w:p>
    <w:p w:rsidR="00F92031" w:rsidRPr="00F92031" w:rsidRDefault="00F92031" w:rsidP="00F92031">
      <w:pPr>
        <w:widowControl w:val="0"/>
        <w:tabs>
          <w:tab w:val="right" w:pos="1008"/>
          <w:tab w:val="left" w:pos="1152"/>
          <w:tab w:val="left" w:pos="1872"/>
          <w:tab w:val="left" w:pos="9187"/>
        </w:tabs>
        <w:ind w:left="2088" w:hanging="2088"/>
        <w:jc w:val="left"/>
      </w:pPr>
    </w:p>
    <w:p w:rsidR="00F92031" w:rsidRDefault="00F92031" w:rsidP="00F92031">
      <w:pPr>
        <w:widowControl w:val="0"/>
        <w:jc w:val="left"/>
      </w:pPr>
      <w:r w:rsidRPr="00F92031">
        <w:rPr>
          <w:b/>
        </w:rPr>
        <w:t>VERSIONS OF THIS BILL</w:t>
      </w:r>
    </w:p>
    <w:p w:rsidR="00F92031" w:rsidRDefault="00F92031" w:rsidP="00F92031">
      <w:pPr>
        <w:widowControl w:val="0"/>
        <w:jc w:val="left"/>
      </w:pPr>
    </w:p>
    <w:p w:rsidR="00F92031" w:rsidRDefault="00291D77" w:rsidP="00F92031">
      <w:pPr>
        <w:widowControl w:val="0"/>
        <w:jc w:val="left"/>
      </w:pPr>
      <w:hyperlink r:id="rId10" w:history="1">
        <w:r w:rsidR="00F92031">
          <w:rPr>
            <w:rStyle w:val="Hyperlink"/>
          </w:rPr>
          <w:t>2/5/2019</w:t>
        </w:r>
      </w:hyperlink>
    </w:p>
    <w:p w:rsidR="00F92031" w:rsidRDefault="00F92031" w:rsidP="00F92031"/>
    <w:p w:rsidR="00F92031" w:rsidRDefault="00F92031" w:rsidP="00F92031">
      <w:pPr>
        <w:sectPr w:rsidR="00F92031" w:rsidSect="00F92031">
          <w:pgSz w:w="12240" w:h="15840" w:code="1"/>
          <w:pgMar w:top="1080" w:right="1440" w:bottom="1080" w:left="1440" w:header="720" w:footer="720" w:gutter="0"/>
          <w:cols w:space="720"/>
          <w:noEndnote/>
          <w:docGrid w:linePitch="360"/>
        </w:sectPr>
      </w:pPr>
    </w:p>
    <w:p w:rsidR="006B1A7B" w:rsidRDefault="006B1A7B"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AB2" w:rsidRDefault="00FF2AB2" w:rsidP="00FF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6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931E5A">
        <w:t xml:space="preserve">TO ENACT THE “PHARMACY ACCESS ACT” </w:t>
      </w:r>
      <w:r>
        <w:t>BY ADDING CHAPTER 138 TO TITLE 44 SO AS TO PROVIDE THAT QUALIFIED LICENSED PHARMACISTS MAY PRESCRIBE AND ADMINISTER INJECTABLE HORMONAL CONTRACEPTIVES AND PRESCRIBE AND DISPENSE SELF</w:t>
      </w:r>
      <w:r w:rsidR="009C2445">
        <w:noBreakHyphen/>
      </w:r>
      <w:r>
        <w:t>ADMINISTERED HORMONAL CONTRACEPTIVES UNDER A STANDING PRESCRIPTION DRUG ORDER, TO PROVIDE FOR WRITTEN JOINT PROTOCOL PROVISIONS,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B0E" w:rsidRPr="00AC3B0E" w:rsidRDefault="00A326A8"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SECTION</w:t>
      </w:r>
      <w:r>
        <w:tab/>
        <w:t>1.</w:t>
      </w:r>
      <w:r>
        <w:tab/>
      </w:r>
      <w:r w:rsidR="00AC3B0E" w:rsidRPr="00AC3B0E">
        <w:rPr>
          <w:rFonts w:eastAsiaTheme="minorHAnsi"/>
          <w:bCs/>
          <w:color w:val="000000" w:themeColor="text1"/>
          <w:szCs w:val="22"/>
          <w:u w:color="000000" w:themeColor="text1"/>
        </w:rPr>
        <w:t xml:space="preserve">This act shall be </w:t>
      </w:r>
      <w:r w:rsidR="00931E5A">
        <w:rPr>
          <w:rFonts w:eastAsiaTheme="minorHAnsi"/>
          <w:bCs/>
          <w:color w:val="000000" w:themeColor="text1"/>
          <w:szCs w:val="22"/>
          <w:u w:color="000000" w:themeColor="text1"/>
        </w:rPr>
        <w:t xml:space="preserve">known as and may be cited </w:t>
      </w:r>
      <w:r w:rsidR="00AC3B0E" w:rsidRPr="00AC3B0E">
        <w:rPr>
          <w:rFonts w:eastAsiaTheme="minorHAnsi"/>
          <w:bCs/>
          <w:color w:val="000000" w:themeColor="text1"/>
          <w:szCs w:val="22"/>
          <w:u w:color="000000" w:themeColor="text1"/>
        </w:rPr>
        <w:t>as the “Pharmacy Access Act”.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SECTION</w:t>
      </w:r>
      <w:r w:rsidRPr="00AC3B0E">
        <w:rPr>
          <w:rFonts w:eastAsiaTheme="minorHAnsi"/>
          <w:bCs/>
          <w:color w:val="000000" w:themeColor="text1"/>
          <w:szCs w:val="22"/>
          <w:u w:color="000000" w:themeColor="text1"/>
        </w:rPr>
        <w:tab/>
        <w:t>2.</w:t>
      </w:r>
      <w:r w:rsidRPr="00AC3B0E">
        <w:rPr>
          <w:rFonts w:eastAsiaTheme="minorHAnsi"/>
          <w:bCs/>
          <w:color w:val="000000" w:themeColor="text1"/>
          <w:szCs w:val="22"/>
          <w:u w:color="000000" w:themeColor="text1"/>
        </w:rPr>
        <w:tab/>
        <w:t>Title 44 of the 1976 Code is amended by adding:</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“CHAPTER 138</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Pharmacy Access Act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As used in this chapter: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Administer</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Department</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the Department of Labor, Licensing and Regulation.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Dispense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w:t>
      </w:r>
      <w:r w:rsidRPr="00AC3B0E">
        <w:rPr>
          <w:rFonts w:eastAsia="Calibri"/>
          <w:color w:val="000000" w:themeColor="text1"/>
          <w:szCs w:val="22"/>
          <w:u w:color="000000" w:themeColor="text1"/>
        </w:rPr>
        <w:lastRenderedPageBreak/>
        <w:t xml:space="preserve">prevent pregnancy and that a practitioner administers to the patient by injection. </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Injectable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Intern</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Local health board</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Chapter 3, Title 44.</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Patient counseling</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(8)</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Pharmacist</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43</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(9)</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Practitioner</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has the same meaning as in Section 40</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47</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20.</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(10)</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Prescriber</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physician licensed pursuant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 Chapter 47, Title 40; an advanced practice registered nurse licensed pursuant to Chapter 33, Title 40 and prescribing in accordance</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with the requirements of that chapter; or a physician assistant licensed pursuant to Article 7, Chapter 47, Title 40 and prescribing in accordance with the requirements of that</w:t>
      </w:r>
      <w:r w:rsidRPr="00AC3B0E">
        <w:rPr>
          <w:rFonts w:eastAsia="Calibri"/>
          <w:color w:val="000000" w:themeColor="text1"/>
          <w:spacing w:val="-16"/>
          <w:szCs w:val="22"/>
          <w:u w:color="000000" w:themeColor="text1"/>
        </w:rPr>
        <w:t xml:space="preserve"> </w:t>
      </w:r>
      <w:r w:rsidRPr="00AC3B0E">
        <w:rPr>
          <w:rFonts w:eastAsia="Calibri"/>
          <w:color w:val="000000" w:themeColor="text1"/>
          <w:szCs w:val="22"/>
          <w:u w:color="000000" w:themeColor="text1"/>
        </w:rPr>
        <w:t>article.</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(11)</w:t>
      </w:r>
      <w:r w:rsidRPr="00AC3B0E">
        <w:rPr>
          <w:rFonts w:eastAsia="Calibri"/>
          <w:color w:val="000000" w:themeColor="text1"/>
          <w:szCs w:val="22"/>
          <w:u w:color="000000" w:themeColor="text1"/>
        </w:rPr>
        <w:tab/>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means a drug composed of a hormone or a combination of hormones that is approved by the United States Food and Drug Administration to prevent pregnancy and that the patient to whom the drug is prescribed may administer to oneself. </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includes an oral hormonal contraceptive, a hormonal vaginal ring, and a hormonal contraceptive patch. </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 xml:space="preserve"> does not include any drug intended to terminate a pregnancy.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20.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This chapter does not create a duty of care for a person who prescribes or dispenses 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administers an injectable hormonal contraceptive</w:t>
      </w:r>
      <w:r w:rsidRPr="00AC3B0E">
        <w:rPr>
          <w:rFonts w:eastAsiaTheme="minorHAnsi"/>
          <w:color w:val="000000" w:themeColor="text1"/>
          <w:szCs w:val="22"/>
          <w:u w:color="000000" w:themeColor="text1"/>
        </w:rPr>
        <w: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t xml:space="preserve">Section </w:t>
      </w:r>
      <w:r w:rsidRPr="00AC3B0E">
        <w:rPr>
          <w:rFonts w:eastAsiaTheme="minorHAnsi"/>
          <w:bCs/>
          <w:color w:val="000000" w:themeColor="text1"/>
          <w:szCs w:val="22"/>
          <w:u w:color="000000" w:themeColor="text1"/>
        </w:rPr>
        <w:t>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30</w:t>
      </w:r>
      <w:r w:rsidRPr="00AC3B0E">
        <w:rPr>
          <w:rFonts w:eastAsiaTheme="minorHAnsi"/>
          <w:color w:val="000000" w:themeColor="text1"/>
          <w:szCs w:val="22"/>
          <w:u w:color="000000" w:themeColor="text1"/>
        </w:rPr>
        <w:t>.</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 xml:space="preserve">A person licensed under the South Carolina Pharmacy Practice Act who is </w:t>
      </w:r>
      <w:r w:rsidRPr="00AC3B0E">
        <w:rPr>
          <w:rFonts w:eastAsiaTheme="minorHAnsi"/>
          <w:bCs/>
          <w:color w:val="000000" w:themeColor="text1"/>
          <w:szCs w:val="22"/>
          <w:u w:color="000000" w:themeColor="text1"/>
        </w:rPr>
        <w:t xml:space="preserve">acting in good faith and exercising reasonable care as a pharmacist may dispense </w:t>
      </w:r>
      <w:r w:rsidRPr="00AC3B0E">
        <w:rPr>
          <w:rFonts w:eastAsiaTheme="minorHAnsi"/>
          <w:color w:val="000000" w:themeColor="text1"/>
          <w:szCs w:val="22"/>
          <w:u w:color="000000" w:themeColor="text1"/>
        </w:rPr>
        <w:t>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 xml:space="preserve">administered hormonal contraceptive or </w:t>
      </w:r>
      <w:r w:rsidRPr="00AC3B0E">
        <w:rPr>
          <w:rFonts w:eastAsiaTheme="minorHAnsi"/>
          <w:bCs/>
          <w:color w:val="000000" w:themeColor="text1"/>
          <w:szCs w:val="22"/>
          <w:u w:color="000000" w:themeColor="text1"/>
        </w:rPr>
        <w:t>administer an injectable hormonal contraceptive</w:t>
      </w:r>
      <w:r w:rsidRPr="00AC3B0E">
        <w:rPr>
          <w:rFonts w:eastAsiaTheme="minorHAnsi"/>
          <w:color w:val="000000" w:themeColor="text1"/>
          <w:szCs w:val="22"/>
          <w:u w:color="000000" w:themeColor="text1"/>
        </w:rPr>
        <w:t xml:space="preserve"> </w:t>
      </w:r>
      <w:r w:rsidRPr="00AC3B0E">
        <w:rPr>
          <w:rFonts w:eastAsiaTheme="minorHAnsi"/>
          <w:bCs/>
          <w:color w:val="000000" w:themeColor="text1"/>
          <w:szCs w:val="22"/>
          <w:u w:color="000000" w:themeColor="text1"/>
        </w:rPr>
        <w:t>pursuant to a standing prescription drug order by a prescriber to a patient who is:</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bCs/>
          <w:color w:val="000000" w:themeColor="text1"/>
          <w:szCs w:val="22"/>
          <w:u w:color="000000" w:themeColor="text1"/>
        </w:rPr>
        <w:tab/>
      </w:r>
      <w:r w:rsidRPr="00AC3B0E">
        <w:rPr>
          <w:rFonts w:eastAsiaTheme="minorHAnsi"/>
          <w:bCs/>
          <w:color w:val="000000" w:themeColor="text1"/>
          <w:szCs w:val="22"/>
          <w:u w:color="000000" w:themeColor="text1"/>
        </w:rPr>
        <w:tab/>
        <w:t>(1)</w:t>
      </w:r>
      <w:r w:rsidRPr="00AC3B0E">
        <w:rPr>
          <w:rFonts w:eastAsiaTheme="minorHAnsi"/>
          <w:bCs/>
          <w:color w:val="000000" w:themeColor="text1"/>
          <w:szCs w:val="22"/>
          <w:u w:color="000000" w:themeColor="text1"/>
        </w:rPr>
        <w:tab/>
        <w:t>eighteen</w:t>
      </w:r>
      <w:r w:rsidRPr="00AC3B0E">
        <w:rPr>
          <w:rFonts w:eastAsiaTheme="minorHAnsi"/>
          <w:color w:val="000000" w:themeColor="text1"/>
          <w:szCs w:val="22"/>
          <w:u w:color="000000" w:themeColor="text1"/>
        </w:rPr>
        <w:t xml:space="preserve"> years of age or older; or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rsidRPr="00AC3B0E">
        <w:rPr>
          <w:rFonts w:eastAsiaTheme="minorHAnsi"/>
          <w:color w:val="000000" w:themeColor="text1"/>
          <w:szCs w:val="22"/>
          <w:u w:color="000000" w:themeColor="text1"/>
        </w:rPr>
        <w:tab/>
      </w:r>
      <w:r w:rsidRPr="00AC3B0E">
        <w:rPr>
          <w:rFonts w:eastAsiaTheme="minorHAnsi"/>
          <w:color w:val="000000" w:themeColor="text1"/>
          <w:szCs w:val="22"/>
          <w:u w:color="000000" w:themeColor="text1"/>
        </w:rPr>
        <w:tab/>
        <w:t>(2)</w:t>
      </w:r>
      <w:r w:rsidRPr="00AC3B0E">
        <w:rPr>
          <w:rFonts w:eastAsiaTheme="minorHAnsi"/>
          <w:color w:val="000000" w:themeColor="text1"/>
          <w:szCs w:val="22"/>
          <w:u w:color="000000" w:themeColor="text1"/>
        </w:rPr>
        <w:tab/>
        <w:t>under eighteen years of age if the person has evidence of a previous prescription from a practitioner for 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an injectable hormonal contraceptive.</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18"/>
          <w:u w:color="000000" w:themeColor="text1"/>
          <w:shd w:val="clear" w:color="auto" w:fill="FFFFFF"/>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r>
      <w:r w:rsidR="00E521DA">
        <w:rPr>
          <w:rFonts w:eastAsia="Calibri"/>
          <w:color w:val="000000" w:themeColor="text1"/>
          <w:szCs w:val="18"/>
          <w:u w:color="000000" w:themeColor="text1"/>
          <w:shd w:val="clear" w:color="auto" w:fill="FFFFFF"/>
        </w:rPr>
        <w:t>No</w:t>
      </w:r>
      <w:r w:rsidRPr="00AC3B0E">
        <w:rPr>
          <w:rFonts w:eastAsia="Calibri"/>
          <w:color w:val="000000" w:themeColor="text1"/>
          <w:szCs w:val="18"/>
          <w:u w:color="000000" w:themeColor="text1"/>
          <w:shd w:val="clear" w:color="auto" w:fill="FFFFFF"/>
        </w:rPr>
        <w:t xml:space="preserve"> later than six months after passage of this </w:t>
      </w:r>
      <w:r w:rsidR="00E521DA">
        <w:rPr>
          <w:rFonts w:eastAsia="Calibri"/>
          <w:color w:val="000000" w:themeColor="text1"/>
          <w:szCs w:val="18"/>
          <w:u w:color="000000" w:themeColor="text1"/>
          <w:shd w:val="clear" w:color="auto" w:fill="FFFFFF"/>
        </w:rPr>
        <w:t>act</w:t>
      </w:r>
      <w:r w:rsidRPr="00AC3B0E">
        <w:rPr>
          <w:rFonts w:eastAsia="Calibri"/>
          <w:color w:val="000000" w:themeColor="text1"/>
          <w:szCs w:val="18"/>
          <w:u w:color="000000" w:themeColor="text1"/>
          <w:shd w:val="clear" w:color="auto" w:fill="FFFFFF"/>
        </w:rPr>
        <w:t xml:space="preserve">, the Board of Medical Examiners and the Board of </w:t>
      </w:r>
      <w:r w:rsidRPr="00AC3B0E">
        <w:rPr>
          <w:rFonts w:eastAsia="Calibri"/>
          <w:bCs/>
          <w:color w:val="000000" w:themeColor="text1"/>
          <w:szCs w:val="18"/>
          <w:u w:color="000000" w:themeColor="text1"/>
          <w:shd w:val="clear" w:color="auto" w:fill="FFFFFF"/>
        </w:rPr>
        <w:t>Pharmacy</w:t>
      </w:r>
      <w:r w:rsidRPr="00AC3B0E">
        <w:rPr>
          <w:rFonts w:ascii="Calibri" w:eastAsia="Calibri" w:hAnsi="Calibri"/>
          <w:color w:val="000000" w:themeColor="text1"/>
          <w:szCs w:val="18"/>
          <w:u w:color="000000" w:themeColor="text1"/>
          <w:shd w:val="clear" w:color="auto" w:fill="FFFFFF"/>
        </w:rPr>
        <w:t xml:space="preserve"> </w:t>
      </w:r>
      <w:r w:rsidRPr="00AC3B0E">
        <w:rPr>
          <w:rFonts w:eastAsia="Calibri"/>
          <w:color w:val="000000" w:themeColor="text1"/>
          <w:szCs w:val="18"/>
          <w:u w:color="000000" w:themeColor="text1"/>
          <w:shd w:val="clear" w:color="auto" w:fill="FFFFFF"/>
        </w:rPr>
        <w:t xml:space="preserve">must issue a written joint protocol to authorize a pharmacist to dispense </w:t>
      </w:r>
      <w:r w:rsidRPr="00AC3B0E">
        <w:rPr>
          <w:rFonts w:eastAsia="Calibri"/>
          <w:color w:val="000000" w:themeColor="text1"/>
          <w:szCs w:val="22"/>
          <w:u w:color="000000" w:themeColor="text1"/>
        </w:rPr>
        <w:t>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 xml:space="preserve">administered hormonal contraceptive or </w:t>
      </w:r>
      <w:r w:rsidRPr="00AC3B0E">
        <w:rPr>
          <w:rFonts w:eastAsia="Calibri"/>
          <w:bCs/>
          <w:color w:val="000000" w:themeColor="text1"/>
          <w:szCs w:val="22"/>
          <w:u w:color="000000" w:themeColor="text1"/>
        </w:rPr>
        <w:t>administer an injectable hormonal contraceptive</w:t>
      </w:r>
      <w:r w:rsidRPr="00AC3B0E">
        <w:rPr>
          <w:rFonts w:eastAsia="Calibri"/>
          <w:color w:val="000000" w:themeColor="text1"/>
          <w:szCs w:val="18"/>
          <w:u w:color="000000" w:themeColor="text1"/>
          <w:shd w:val="clear" w:color="auto" w:fill="FFFFFF"/>
        </w:rPr>
        <w:t xml:space="preserve"> without a patient</w:t>
      </w:r>
      <w:r w:rsidR="009C2445">
        <w:rPr>
          <w:rFonts w:eastAsia="Calibri"/>
          <w:color w:val="000000" w:themeColor="text1"/>
          <w:szCs w:val="18"/>
          <w:u w:color="000000" w:themeColor="text1"/>
          <w:shd w:val="clear" w:color="auto" w:fill="FFFFFF"/>
        </w:rPr>
        <w:noBreakHyphen/>
      </w:r>
      <w:r w:rsidRPr="00AC3B0E">
        <w:rPr>
          <w:rFonts w:eastAsia="Calibri"/>
          <w:color w:val="000000" w:themeColor="text1"/>
          <w:szCs w:val="18"/>
          <w:u w:color="000000" w:themeColor="text1"/>
          <w:shd w:val="clear" w:color="auto" w:fill="FFFFFF"/>
        </w:rPr>
        <w:t>specific written order.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Cs/>
          <w:color w:val="000000" w:themeColor="text1"/>
          <w:szCs w:val="22"/>
          <w:u w:color="000000" w:themeColor="text1"/>
        </w:rPr>
      </w:pPr>
      <w:r w:rsidRPr="00AC3B0E">
        <w:rPr>
          <w:rFonts w:eastAsia="Calibri"/>
          <w:color w:val="000000" w:themeColor="text1"/>
          <w:szCs w:val="22"/>
          <w:u w:color="000000" w:themeColor="text1"/>
        </w:rPr>
        <w:tab/>
        <w:t>(C)</w:t>
      </w:r>
      <w:r w:rsidRPr="00AC3B0E">
        <w:rPr>
          <w:rFonts w:eastAsia="Calibri"/>
          <w:color w:val="000000" w:themeColor="text1"/>
          <w:szCs w:val="22"/>
          <w:u w:color="000000" w:themeColor="text1"/>
        </w:rPr>
        <w:tab/>
        <w:t>The written joint protocol must address, at a minimum, the following:</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education or training requirements that the Board of Medical Examiners and the Board of Pharmacy determine to be necessary for a pharmacist to dispense an injectable hormonal contraceptive;</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information that the pharmacist must provide to a patient prior to dispensing;</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documentation regarding the dispensing of the injectable hormonal contraceptive and confirmation that the required information was provided to the patient;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notification to the patient</w:t>
      </w:r>
      <w:r w:rsidR="009C2445" w:rsidRPr="009C2445">
        <w:rPr>
          <w:rFonts w:eastAsia="Calibri"/>
          <w:color w:val="000000" w:themeColor="text1"/>
          <w:szCs w:val="22"/>
          <w:u w:color="000000" w:themeColor="text1"/>
        </w:rPr>
        <w:t>’</w:t>
      </w:r>
      <w:r w:rsidRPr="00AC3B0E">
        <w:rPr>
          <w:rFonts w:eastAsia="Calibri"/>
          <w:color w:val="000000" w:themeColor="text1"/>
          <w:szCs w:val="22"/>
          <w:u w:color="000000" w:themeColor="text1"/>
        </w:rPr>
        <w:t>s designated practitioner that the injectable hormonal contraceptive has been dispensed to that patient;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evaluation and review of the dispensing and administration practices used by pharmacists authorized to dispense the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contraceptive; and</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any additional provisions that the Board of the Medical Examiners and the Board of Pharmacy determine to be necessary or appropriate for inclusion in the protocol, including any reporting requirements.</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The written joint protocol must require a pharmacist dispensing or administering contraceptives to obtain, utilize, prescribe, or provide the following information for each new patient requesting contraception and, at least every twelve months for each returning patient: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obtain a completed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screening risk assessment;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utilize a standard procedures algorithm as established by the Board of the Medical Examiners and the Board of Pharmacy to perform a patient assessment;</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(3)</w:t>
      </w:r>
      <w:r w:rsidRPr="00AC3B0E">
        <w:rPr>
          <w:rFonts w:eastAsia="Calibri"/>
          <w:color w:val="000000" w:themeColor="text1"/>
          <w:szCs w:val="22"/>
          <w:u w:color="000000" w:themeColor="text1"/>
        </w:rPr>
        <w:tab/>
        <w:t>prescribe, if clinically appropriate, the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oral hormonal contraceptive or injectable hormonal contraceptive, or refer the patient to a practitioner;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(4)</w:t>
      </w:r>
      <w:r w:rsidRPr="00AC3B0E">
        <w:rPr>
          <w:rFonts w:eastAsia="Calibri"/>
          <w:color w:val="000000" w:themeColor="text1"/>
          <w:szCs w:val="22"/>
          <w:u w:color="000000" w:themeColor="text1"/>
        </w:rPr>
        <w:tab/>
        <w:t>provide the patient with a visit</w:t>
      </w:r>
      <w:r w:rsidRPr="00AC3B0E">
        <w:rPr>
          <w:rFonts w:eastAsia="Calibri"/>
          <w:color w:val="000000" w:themeColor="text1"/>
          <w:spacing w:val="26"/>
          <w:szCs w:val="22"/>
          <w:u w:color="000000" w:themeColor="text1"/>
        </w:rPr>
        <w:t xml:space="preserve"> </w:t>
      </w:r>
      <w:r w:rsidRPr="00AC3B0E">
        <w:rPr>
          <w:rFonts w:eastAsia="Calibri"/>
          <w:color w:val="000000" w:themeColor="text1"/>
          <w:szCs w:val="22"/>
          <w:u w:color="000000" w:themeColor="text1"/>
        </w:rPr>
        <w:t>summary;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(5)</w:t>
      </w:r>
      <w:r w:rsidRPr="00AC3B0E">
        <w:rPr>
          <w:rFonts w:eastAsia="Calibri"/>
          <w:color w:val="000000" w:themeColor="text1"/>
          <w:szCs w:val="22"/>
          <w:u w:color="000000" w:themeColor="text1"/>
        </w:rPr>
        <w:tab/>
        <w:t>advise the patient to consult with a practitioner;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(6)</w:t>
      </w:r>
      <w:r w:rsidRPr="00AC3B0E">
        <w:rPr>
          <w:rFonts w:eastAsia="Calibri"/>
          <w:color w:val="000000" w:themeColor="text1"/>
          <w:szCs w:val="22"/>
          <w:u w:color="000000" w:themeColor="text1"/>
        </w:rPr>
        <w:tab/>
        <w:t>refer any patient that may be subject to abuse to the appropriate social services agency; and</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(7)</w:t>
      </w:r>
      <w:r w:rsidRPr="00AC3B0E">
        <w:rPr>
          <w:rFonts w:eastAsia="Calibri"/>
          <w:color w:val="000000" w:themeColor="text1"/>
          <w:szCs w:val="22"/>
          <w:u w:color="000000" w:themeColor="text1"/>
        </w:rPr>
        <w:tab/>
        <w:t>ensure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that</w:t>
      </w:r>
      <w:r w:rsidRPr="00AC3B0E">
        <w:rPr>
          <w:rFonts w:eastAsia="Calibri"/>
          <w:color w:val="000000" w:themeColor="text1"/>
          <w:spacing w:val="-7"/>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pharmacy</w:t>
      </w:r>
      <w:r w:rsidRPr="00AC3B0E">
        <w:rPr>
          <w:rFonts w:eastAsia="Calibri"/>
          <w:color w:val="000000" w:themeColor="text1"/>
          <w:spacing w:val="-10"/>
          <w:szCs w:val="22"/>
          <w:u w:color="000000" w:themeColor="text1"/>
        </w:rPr>
        <w:t xml:space="preserve"> </w:t>
      </w:r>
      <w:r w:rsidRPr="00AC3B0E">
        <w:rPr>
          <w:rFonts w:eastAsia="Calibri"/>
          <w:color w:val="000000" w:themeColor="text1"/>
          <w:szCs w:val="22"/>
          <w:u w:color="000000" w:themeColor="text1"/>
        </w:rPr>
        <w:t>provides</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appropriate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space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to</w:t>
      </w:r>
      <w:r w:rsidRPr="00AC3B0E">
        <w:rPr>
          <w:rFonts w:eastAsia="Calibri"/>
          <w:color w:val="000000" w:themeColor="text1"/>
          <w:spacing w:val="-4"/>
          <w:szCs w:val="22"/>
          <w:u w:color="000000" w:themeColor="text1"/>
        </w:rPr>
        <w:t xml:space="preserve"> </w:t>
      </w:r>
      <w:r w:rsidRPr="00AC3B0E">
        <w:rPr>
          <w:rFonts w:eastAsia="Calibri"/>
          <w:color w:val="000000" w:themeColor="text1"/>
          <w:szCs w:val="22"/>
          <w:u w:color="000000" w:themeColor="text1"/>
        </w:rPr>
        <w:t>prevent</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the</w:t>
      </w:r>
      <w:r w:rsidRPr="00AC3B0E">
        <w:rPr>
          <w:rFonts w:eastAsia="Calibri"/>
          <w:color w:val="000000" w:themeColor="text1"/>
          <w:spacing w:val="-3"/>
          <w:szCs w:val="22"/>
          <w:u w:color="000000" w:themeColor="text1"/>
        </w:rPr>
        <w:t xml:space="preserve"> </w:t>
      </w:r>
      <w:r w:rsidRPr="00AC3B0E">
        <w:rPr>
          <w:rFonts w:eastAsia="Calibri"/>
          <w:color w:val="000000" w:themeColor="text1"/>
          <w:szCs w:val="22"/>
          <w:u w:color="000000" w:themeColor="text1"/>
        </w:rPr>
        <w:t>spread</w:t>
      </w:r>
      <w:r w:rsidRPr="00AC3B0E">
        <w:rPr>
          <w:rFonts w:eastAsia="Calibri"/>
          <w:color w:val="000000" w:themeColor="text1"/>
          <w:spacing w:val="-8"/>
          <w:szCs w:val="22"/>
          <w:u w:color="000000" w:themeColor="text1"/>
        </w:rPr>
        <w:t xml:space="preserve"> </w:t>
      </w:r>
      <w:r w:rsidRPr="00AC3B0E">
        <w:rPr>
          <w:rFonts w:eastAsia="Calibri"/>
          <w:color w:val="000000" w:themeColor="text1"/>
          <w:szCs w:val="22"/>
          <w:u w:color="000000" w:themeColor="text1"/>
        </w:rPr>
        <w:t>of</w:t>
      </w:r>
      <w:r w:rsidRPr="00AC3B0E">
        <w:rPr>
          <w:rFonts w:eastAsia="Calibri"/>
          <w:color w:val="000000" w:themeColor="text1"/>
          <w:spacing w:val="-11"/>
          <w:szCs w:val="22"/>
          <w:u w:color="000000" w:themeColor="text1"/>
        </w:rPr>
        <w:t xml:space="preserve"> </w:t>
      </w:r>
      <w:r w:rsidRPr="00AC3B0E">
        <w:rPr>
          <w:rFonts w:eastAsia="Calibri"/>
          <w:color w:val="000000" w:themeColor="text1"/>
          <w:szCs w:val="22"/>
          <w:u w:color="000000" w:themeColor="text1"/>
        </w:rPr>
        <w:t>infection</w:t>
      </w:r>
      <w:r w:rsidRPr="00AC3B0E">
        <w:rPr>
          <w:rFonts w:eastAsia="Calibri"/>
          <w:color w:val="000000" w:themeColor="text1"/>
          <w:spacing w:val="-5"/>
          <w:szCs w:val="22"/>
          <w:u w:color="000000" w:themeColor="text1"/>
        </w:rPr>
        <w:t xml:space="preserve"> </w:t>
      </w:r>
      <w:r w:rsidRPr="00AC3B0E">
        <w:rPr>
          <w:rFonts w:eastAsia="Calibri"/>
          <w:color w:val="000000" w:themeColor="text1"/>
          <w:szCs w:val="22"/>
          <w:u w:color="000000" w:themeColor="text1"/>
        </w:rPr>
        <w:t>and</w:t>
      </w:r>
      <w:r w:rsidRPr="00AC3B0E">
        <w:rPr>
          <w:rFonts w:eastAsia="Calibri"/>
          <w:color w:val="000000" w:themeColor="text1"/>
          <w:spacing w:val="-6"/>
          <w:szCs w:val="22"/>
          <w:u w:color="000000" w:themeColor="text1"/>
        </w:rPr>
        <w:t xml:space="preserve"> </w:t>
      </w:r>
      <w:r w:rsidRPr="00AC3B0E">
        <w:rPr>
          <w:rFonts w:eastAsia="Calibri"/>
          <w:color w:val="000000" w:themeColor="text1"/>
          <w:szCs w:val="22"/>
          <w:u w:color="000000" w:themeColor="text1"/>
        </w:rPr>
        <w:t>ensure</w:t>
      </w:r>
      <w:r w:rsidRPr="00AC3B0E">
        <w:rPr>
          <w:rFonts w:eastAsia="Calibri"/>
          <w:color w:val="000000" w:themeColor="text1"/>
          <w:spacing w:val="-2"/>
          <w:szCs w:val="22"/>
          <w:u w:color="000000" w:themeColor="text1"/>
        </w:rPr>
        <w:t xml:space="preserve"> </w:t>
      </w:r>
      <w:r w:rsidRPr="00AC3B0E">
        <w:rPr>
          <w:rFonts w:eastAsia="Calibri"/>
          <w:color w:val="000000" w:themeColor="text1"/>
          <w:szCs w:val="22"/>
          <w:u w:color="000000" w:themeColor="text1"/>
        </w:rPr>
        <w:t>confidentiality.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(E)</w:t>
      </w:r>
      <w:r w:rsidRPr="00AC3B0E">
        <w:rPr>
          <w:rFonts w:eastAsia="Calibri"/>
          <w:color w:val="000000" w:themeColor="text1"/>
          <w:szCs w:val="22"/>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Section 44</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40.</w:t>
      </w:r>
      <w:r w:rsidRPr="00AC3B0E">
        <w:rPr>
          <w:rFonts w:eastAsia="Calibri"/>
          <w:color w:val="000000" w:themeColor="text1"/>
          <w:szCs w:val="22"/>
          <w:u w:color="000000" w:themeColor="text1"/>
        </w:rPr>
        <w:tab/>
        <w:t>(A)</w:t>
      </w:r>
      <w:r w:rsidRPr="00AC3B0E">
        <w:rPr>
          <w:rFonts w:eastAsia="Calibri"/>
          <w:color w:val="000000" w:themeColor="text1"/>
          <w:szCs w:val="22"/>
          <w:u w:color="000000" w:themeColor="text1"/>
        </w:rPr>
        <w:tab/>
        <w:t>Prior to providing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pharmacists who participate in this protocol must have completed a minimum of one hour of continuing education as specified in the joint protocol that is program</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specific to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or pharmacist</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includes the application of the United States Medical Eligibility Criteria for Contraceptive Use, and includes other Centers for Disease Control and Prevention guidance on contraception.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An equivalent, curriculum</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based training program completed on or after 2018 in an accredited South Carolina pharmacy school is sufficient training to participate in this protocol.</w:t>
      </w:r>
    </w:p>
    <w:p w:rsidR="00AC3B0E" w:rsidRPr="00774682"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b/>
          <w:color w:val="000000" w:themeColor="text1"/>
          <w:szCs w:val="22"/>
          <w:u w:color="000000" w:themeColor="text1"/>
        </w:rPr>
      </w:pP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Section 44</w:t>
      </w:r>
      <w:r w:rsidR="009C2445">
        <w:rPr>
          <w:color w:val="000000" w:themeColor="text1"/>
          <w:u w:color="000000" w:themeColor="text1"/>
        </w:rPr>
        <w:noBreakHyphen/>
      </w:r>
      <w:r w:rsidRPr="00F60AD2">
        <w:rPr>
          <w:color w:val="000000" w:themeColor="text1"/>
          <w:u w:color="000000" w:themeColor="text1"/>
        </w:rPr>
        <w:t>138</w:t>
      </w:r>
      <w:r w:rsidR="009C2445">
        <w:rPr>
          <w:color w:val="000000" w:themeColor="text1"/>
          <w:u w:color="000000" w:themeColor="text1"/>
        </w:rPr>
        <w:noBreakHyphen/>
      </w:r>
      <w:r w:rsidRPr="00F60AD2">
        <w:rPr>
          <w:color w:val="000000" w:themeColor="text1"/>
          <w:u w:color="000000" w:themeColor="text1"/>
        </w:rPr>
        <w:t>50.</w:t>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A pharmacist or intern who dispenses a self</w:t>
      </w:r>
      <w:r w:rsidR="009C2445">
        <w:rPr>
          <w:color w:val="000000" w:themeColor="text1"/>
          <w:u w:color="000000" w:themeColor="text1"/>
        </w:rPr>
        <w:noBreakHyphen/>
      </w:r>
      <w:r w:rsidRPr="00F60AD2">
        <w:rPr>
          <w:color w:val="000000" w:themeColor="text1"/>
          <w:u w:color="000000" w:themeColor="text1"/>
        </w:rPr>
        <w:t>administered hormonal contraceptive or injectable hormonal contraceptive under this chapter shall obtain a completed self</w:t>
      </w:r>
      <w:r w:rsidR="009C2445">
        <w:rPr>
          <w:color w:val="000000" w:themeColor="text1"/>
          <w:u w:color="000000" w:themeColor="text1"/>
        </w:rPr>
        <w:noBreakHyphen/>
      </w:r>
      <w:r w:rsidRPr="00F60AD2">
        <w:rPr>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9C2445">
        <w:rPr>
          <w:color w:val="000000" w:themeColor="text1"/>
          <w:u w:color="000000" w:themeColor="text1"/>
        </w:rPr>
        <w:noBreakHyphen/>
      </w:r>
      <w:r w:rsidRPr="00F60AD2">
        <w:rPr>
          <w:color w:val="000000" w:themeColor="text1"/>
          <w:u w:color="000000" w:themeColor="text1"/>
        </w:rPr>
        <w:t xml:space="preserve">administered or injectable hormonal contraceptive. </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(B)(1)</w:t>
      </w:r>
      <w:r>
        <w:rPr>
          <w:color w:val="000000" w:themeColor="text1"/>
          <w:u w:color="000000" w:themeColor="text1"/>
        </w:rPr>
        <w:tab/>
      </w:r>
      <w:r w:rsidRPr="00F60AD2">
        <w:rPr>
          <w:color w:val="000000" w:themeColor="text1"/>
          <w:u w:color="000000" w:themeColor="text1"/>
        </w:rPr>
        <w:t>If the results of the assessment in subsection (A) indicate that it is unsafe to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the pharmacist may not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the patient and shall refer the patient to a practitioner.</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If the results of the assessment in subsection (A) do not indicate that it is unsafe to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the pharmacist shall provide the patient with written information regarding:</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importance of seeing the patient</w:t>
      </w:r>
      <w:r w:rsidR="009C2445" w:rsidRPr="009C2445">
        <w:rPr>
          <w:color w:val="000000" w:themeColor="text1"/>
          <w:u w:color="000000" w:themeColor="text1"/>
        </w:rPr>
        <w:t>’</w:t>
      </w:r>
      <w:r w:rsidRPr="00F60AD2">
        <w:rPr>
          <w:color w:val="000000" w:themeColor="text1"/>
          <w:u w:color="000000" w:themeColor="text1"/>
        </w:rPr>
        <w:t>s practitioner to obtain recommended tests and screening;</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t>t</w:t>
      </w:r>
      <w:r w:rsidRPr="00F60AD2">
        <w:rPr>
          <w:color w:val="000000" w:themeColor="text1"/>
          <w:u w:color="000000" w:themeColor="text1"/>
        </w:rPr>
        <w:t>he effectiveness and availability of long</w:t>
      </w:r>
      <w:r w:rsidR="009C2445">
        <w:rPr>
          <w:color w:val="000000" w:themeColor="text1"/>
          <w:u w:color="000000" w:themeColor="text1"/>
        </w:rPr>
        <w:noBreakHyphen/>
      </w:r>
      <w:r w:rsidRPr="00F60AD2">
        <w:rPr>
          <w:color w:val="000000" w:themeColor="text1"/>
          <w:u w:color="000000" w:themeColor="text1"/>
        </w:rPr>
        <w:t>acting reversible contraceptives as an alternative to self</w:t>
      </w:r>
      <w:r w:rsidR="009C2445">
        <w:rPr>
          <w:color w:val="000000" w:themeColor="text1"/>
          <w:u w:color="000000" w:themeColor="text1"/>
        </w:rPr>
        <w:noBreakHyphen/>
      </w:r>
      <w:r w:rsidRPr="00F60AD2">
        <w:rPr>
          <w:color w:val="000000" w:themeColor="text1"/>
          <w:u w:color="000000" w:themeColor="text1"/>
        </w:rPr>
        <w:t>administered or injectable hormonal contraceptives;</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a copy of the record of the encounter with the patient that includes the patient</w:t>
      </w:r>
      <w:r w:rsidR="009C2445" w:rsidRPr="009C2445">
        <w:rPr>
          <w:color w:val="000000" w:themeColor="text1"/>
          <w:u w:color="000000" w:themeColor="text1"/>
        </w:rPr>
        <w:t>’</w:t>
      </w:r>
      <w:r w:rsidRPr="00F60AD2">
        <w:rPr>
          <w:color w:val="000000" w:themeColor="text1"/>
          <w:u w:color="000000" w:themeColor="text1"/>
        </w:rPr>
        <w:t>s completed self</w:t>
      </w:r>
      <w:r w:rsidR="009C2445">
        <w:rPr>
          <w:color w:val="000000" w:themeColor="text1"/>
          <w:u w:color="000000" w:themeColor="text1"/>
        </w:rPr>
        <w:noBreakHyphen/>
      </w:r>
      <w:r w:rsidRPr="00F60AD2">
        <w:rPr>
          <w:color w:val="000000" w:themeColor="text1"/>
          <w:u w:color="000000" w:themeColor="text1"/>
        </w:rPr>
        <w:t>assessment tool; and</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a description of the contraceptives dispensed, or the basis for not dispensing a contraceptive.</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If a pharmacist dispenses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the pharmacist:</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(1)</w:t>
      </w:r>
      <w:r>
        <w:rPr>
          <w:color w:val="000000" w:themeColor="text1"/>
          <w:u w:color="000000" w:themeColor="text1"/>
        </w:rPr>
        <w:tab/>
      </w:r>
      <w:r w:rsidRPr="00F60AD2">
        <w:rPr>
          <w:color w:val="000000" w:themeColor="text1"/>
          <w:u w:color="000000" w:themeColor="text1"/>
        </w:rPr>
        <w:t>shall, at a minimum, provide patient counseling to the patient regarding:</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(a)</w:t>
      </w:r>
      <w:r>
        <w:rPr>
          <w:color w:val="000000" w:themeColor="text1"/>
          <w:u w:color="000000" w:themeColor="text1"/>
        </w:rPr>
        <w:tab/>
      </w:r>
      <w:r w:rsidRPr="00F60AD2">
        <w:rPr>
          <w:color w:val="000000" w:themeColor="text1"/>
          <w:u w:color="000000" w:themeColor="text1"/>
        </w:rPr>
        <w:t>the appropriate administration and storage of the self</w:t>
      </w:r>
      <w:r w:rsidR="009C2445">
        <w:rPr>
          <w:color w:val="000000" w:themeColor="text1"/>
          <w:u w:color="000000" w:themeColor="text1"/>
        </w:rPr>
        <w:noBreakHyphen/>
      </w:r>
      <w:r w:rsidRPr="00F60AD2">
        <w:rPr>
          <w:color w:val="000000" w:themeColor="text1"/>
          <w:u w:color="000000" w:themeColor="text1"/>
        </w:rPr>
        <w:t>administered or injectable hormonal contraceptive;</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(b)</w:t>
      </w:r>
      <w:r>
        <w:rPr>
          <w:color w:val="000000" w:themeColor="text1"/>
          <w:u w:color="000000" w:themeColor="text1"/>
        </w:rPr>
        <w:tab/>
      </w:r>
      <w:r w:rsidRPr="00F60AD2">
        <w:rPr>
          <w:color w:val="000000" w:themeColor="text1"/>
          <w:u w:color="000000" w:themeColor="text1"/>
        </w:rPr>
        <w:t>potential side effects and risks of the self</w:t>
      </w:r>
      <w:r w:rsidR="009C2445">
        <w:rPr>
          <w:color w:val="000000" w:themeColor="text1"/>
          <w:u w:color="000000" w:themeColor="text1"/>
        </w:rPr>
        <w:noBreakHyphen/>
      </w:r>
      <w:r w:rsidRPr="00F60AD2">
        <w:rPr>
          <w:color w:val="000000" w:themeColor="text1"/>
          <w:u w:color="000000" w:themeColor="text1"/>
        </w:rPr>
        <w:t>administered or injectable hormonal contraceptive;</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(c)</w:t>
      </w:r>
      <w:r>
        <w:rPr>
          <w:color w:val="000000" w:themeColor="text1"/>
          <w:u w:color="000000" w:themeColor="text1"/>
        </w:rPr>
        <w:tab/>
      </w:r>
      <w:r w:rsidRPr="00F60AD2">
        <w:rPr>
          <w:color w:val="000000" w:themeColor="text1"/>
          <w:u w:color="000000" w:themeColor="text1"/>
        </w:rPr>
        <w:t>the need for backup contraception;</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(d)</w:t>
      </w:r>
      <w:r>
        <w:rPr>
          <w:color w:val="000000" w:themeColor="text1"/>
          <w:u w:color="000000" w:themeColor="text1"/>
        </w:rPr>
        <w:tab/>
      </w:r>
      <w:r w:rsidRPr="00F60AD2">
        <w:rPr>
          <w:color w:val="000000" w:themeColor="text1"/>
          <w:u w:color="000000" w:themeColor="text1"/>
        </w:rPr>
        <w:t>when to seek emergency medical attention; and</w:t>
      </w:r>
    </w:p>
    <w:p w:rsidR="00774682" w:rsidRPr="00F60AD2"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(e)</w:t>
      </w:r>
      <w:r>
        <w:rPr>
          <w:color w:val="000000" w:themeColor="text1"/>
          <w:u w:color="000000" w:themeColor="text1"/>
        </w:rPr>
        <w:tab/>
      </w:r>
      <w:r w:rsidRPr="00F60AD2">
        <w:rPr>
          <w:color w:val="000000" w:themeColor="text1"/>
          <w:u w:color="000000" w:themeColor="text1"/>
        </w:rPr>
        <w:t>the risk of contracting a sexually transmitted infection or disease, along with ways to reduce the risk of contraction; and</w:t>
      </w:r>
    </w:p>
    <w:p w:rsidR="00AC3B0E"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0AD2">
        <w:rPr>
          <w:color w:val="000000" w:themeColor="text1"/>
          <w:u w:color="000000" w:themeColor="text1"/>
        </w:rPr>
        <w:t>(2)</w:t>
      </w:r>
      <w:r>
        <w:rPr>
          <w:color w:val="000000" w:themeColor="text1"/>
          <w:u w:color="000000" w:themeColor="text1"/>
        </w:rPr>
        <w:tab/>
      </w:r>
      <w:r w:rsidRPr="00F60AD2">
        <w:rPr>
          <w:color w:val="000000" w:themeColor="text1"/>
          <w:u w:color="000000" w:themeColor="text1"/>
        </w:rPr>
        <w:t>may not continue to dispense a self</w:t>
      </w:r>
      <w:r w:rsidR="009C2445">
        <w:rPr>
          <w:color w:val="000000" w:themeColor="text1"/>
          <w:u w:color="000000" w:themeColor="text1"/>
        </w:rPr>
        <w:noBreakHyphen/>
      </w:r>
      <w:r w:rsidRPr="00F60AD2">
        <w:rPr>
          <w:color w:val="000000" w:themeColor="text1"/>
          <w:u w:color="000000" w:themeColor="text1"/>
        </w:rPr>
        <w:t>administered or injectable hormonal contraceptive to a patient for more than twenty</w:t>
      </w:r>
      <w:r w:rsidR="009C2445">
        <w:rPr>
          <w:color w:val="000000" w:themeColor="text1"/>
          <w:u w:color="000000" w:themeColor="text1"/>
        </w:rPr>
        <w:noBreakHyphen/>
      </w:r>
      <w:r w:rsidRPr="00F60AD2">
        <w:rPr>
          <w:color w:val="000000" w:themeColor="text1"/>
          <w:u w:color="000000" w:themeColor="text1"/>
        </w:rPr>
        <w:t>four months after the date of the initial prescription without evidence that the patient has consulted with a practitioner during the preceding twenty</w:t>
      </w:r>
      <w:r w:rsidR="009C2445">
        <w:rPr>
          <w:color w:val="000000" w:themeColor="text1"/>
          <w:u w:color="000000" w:themeColor="text1"/>
        </w:rPr>
        <w:noBreakHyphen/>
      </w:r>
      <w:r w:rsidRPr="00F60AD2">
        <w:rPr>
          <w:color w:val="000000" w:themeColor="text1"/>
          <w:u w:color="000000" w:themeColor="text1"/>
        </w:rPr>
        <w:t>four months.</w:t>
      </w:r>
    </w:p>
    <w:p w:rsidR="00774682" w:rsidRPr="00AC3B0E" w:rsidRDefault="00774682" w:rsidP="0077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bCs/>
          <w:color w:val="000000" w:themeColor="text1"/>
          <w:szCs w:val="22"/>
          <w:u w:color="000000" w:themeColor="text1"/>
        </w:rPr>
        <w:tab/>
        <w:t>Section 44</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138</w:t>
      </w:r>
      <w:r w:rsidR="009C2445">
        <w:rPr>
          <w:rFonts w:eastAsiaTheme="minorHAnsi"/>
          <w:bCs/>
          <w:color w:val="000000" w:themeColor="text1"/>
          <w:szCs w:val="22"/>
          <w:u w:color="000000" w:themeColor="text1"/>
        </w:rPr>
        <w:noBreakHyphen/>
      </w:r>
      <w:r w:rsidRPr="00AC3B0E">
        <w:rPr>
          <w:rFonts w:eastAsiaTheme="minorHAnsi"/>
          <w:bCs/>
          <w:color w:val="000000" w:themeColor="text1"/>
          <w:szCs w:val="22"/>
          <w:u w:color="000000" w:themeColor="text1"/>
        </w:rPr>
        <w:t>60.</w:t>
      </w:r>
      <w:r w:rsidRPr="00AC3B0E">
        <w:rPr>
          <w:rFonts w:eastAsiaTheme="minorHAnsi"/>
          <w:bCs/>
          <w:color w:val="000000" w:themeColor="text1"/>
          <w:szCs w:val="22"/>
          <w:u w:color="000000" w:themeColor="text1"/>
        </w:rPr>
        <w:tab/>
      </w:r>
      <w:r w:rsidRPr="00AC3B0E">
        <w:rPr>
          <w:rFonts w:eastAsiaTheme="minorHAnsi"/>
          <w:color w:val="000000" w:themeColor="text1"/>
          <w:szCs w:val="22"/>
          <w:u w:color="000000" w:themeColor="text1"/>
        </w:rPr>
        <w:t>A prescriber who issues a standing prescription drug order in accordance with Section 44</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50 is not liable for any civil damages for acts or omissions resulting from the dispensing of a self</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administered hormonal contraceptive or the administering of an injectable hormonal contraceptive under this chapter.</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C3B0E">
        <w:rPr>
          <w:rFonts w:eastAsiaTheme="minorHAnsi"/>
          <w:color w:val="000000" w:themeColor="text1"/>
          <w:szCs w:val="22"/>
          <w:u w:color="000000" w:themeColor="text1"/>
        </w:rPr>
        <w:tab/>
        <w:t>Section 44</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138</w:t>
      </w:r>
      <w:r w:rsidR="009C2445">
        <w:rPr>
          <w:rFonts w:eastAsiaTheme="minorHAnsi"/>
          <w:color w:val="000000" w:themeColor="text1"/>
          <w:szCs w:val="22"/>
          <w:u w:color="000000" w:themeColor="text1"/>
        </w:rPr>
        <w:noBreakHyphen/>
      </w:r>
      <w:r w:rsidRPr="00AC3B0E">
        <w:rPr>
          <w:rFonts w:eastAsiaTheme="minorHAnsi"/>
          <w:color w:val="000000" w:themeColor="text1"/>
          <w:szCs w:val="22"/>
          <w:u w:color="000000" w:themeColor="text1"/>
        </w:rPr>
        <w:t>70.</w:t>
      </w:r>
      <w:r w:rsidRPr="00AC3B0E">
        <w:rPr>
          <w:rFonts w:eastAsiaTheme="minorHAnsi"/>
          <w:color w:val="000000" w:themeColor="text1"/>
          <w:szCs w:val="22"/>
          <w:u w:color="000000" w:themeColor="text1"/>
        </w:rPr>
        <w:tab/>
        <w:t>(A)</w:t>
      </w:r>
      <w:r w:rsidRPr="00AC3B0E">
        <w:rPr>
          <w:rFonts w:eastAsiaTheme="minorHAnsi"/>
          <w:color w:val="000000" w:themeColor="text1"/>
          <w:szCs w:val="22"/>
          <w:u w:color="000000" w:themeColor="text1"/>
        </w:rPr>
        <w:tab/>
        <w:t>Pharmacist services are a benefit under South Carolina Medicaid, subject to approval by the federal Centers for Medicare and Medicaid Services. The department shall establish a fee schedule for the list of pharmacist services. The rate of reimburseme</w:t>
      </w:r>
      <w:r w:rsidR="00EE64B7">
        <w:rPr>
          <w:rFonts w:eastAsiaTheme="minorHAnsi"/>
          <w:color w:val="000000" w:themeColor="text1"/>
          <w:szCs w:val="22"/>
          <w:u w:color="000000" w:themeColor="text1"/>
        </w:rPr>
        <w:t>nt for pharmacist services must</w:t>
      </w:r>
      <w:r w:rsidRPr="00AC3B0E">
        <w:rPr>
          <w:rFonts w:eastAsiaTheme="minorHAnsi"/>
          <w:color w:val="000000" w:themeColor="text1"/>
          <w:szCs w:val="22"/>
          <w:u w:color="000000" w:themeColor="text1"/>
        </w:rPr>
        <w:t xml:space="preserve"> be at seventy percent of the fee schedule for physician services under the Medicaid program.</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(B)</w:t>
      </w:r>
      <w:r w:rsidRPr="00AC3B0E">
        <w:rPr>
          <w:rFonts w:eastAsia="Calibri"/>
          <w:color w:val="000000" w:themeColor="text1"/>
          <w:szCs w:val="22"/>
          <w:u w:color="000000" w:themeColor="text1"/>
        </w:rPr>
        <w:tab/>
        <w:t>The following services are covered pharmacist services that maybe provided to a Medicaid beneficiary:</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(1)</w:t>
      </w:r>
      <w:r w:rsidRPr="00AC3B0E">
        <w:rPr>
          <w:rFonts w:eastAsia="Calibri"/>
          <w:color w:val="000000" w:themeColor="text1"/>
          <w:szCs w:val="22"/>
          <w:u w:color="000000" w:themeColor="text1"/>
        </w:rPr>
        <w:tab/>
        <w:t>administering self</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 and</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r>
      <w:r w:rsidRPr="00AC3B0E">
        <w:rPr>
          <w:rFonts w:eastAsia="Calibri"/>
          <w:color w:val="000000" w:themeColor="text1"/>
          <w:szCs w:val="22"/>
          <w:u w:color="000000" w:themeColor="text1"/>
        </w:rPr>
        <w:tab/>
        <w:t>(2)</w:t>
      </w:r>
      <w:r w:rsidRPr="00AC3B0E">
        <w:rPr>
          <w:rFonts w:eastAsia="Calibri"/>
          <w:color w:val="000000" w:themeColor="text1"/>
          <w:szCs w:val="22"/>
          <w:u w:color="000000" w:themeColor="text1"/>
        </w:rPr>
        <w:tab/>
        <w:t>administering pharmacist</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administered hormonal contraception, as outlined and authorized in Section 44</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138</w:t>
      </w:r>
      <w:r w:rsidR="009C2445">
        <w:rPr>
          <w:rFonts w:eastAsia="Calibri"/>
          <w:color w:val="000000" w:themeColor="text1"/>
          <w:szCs w:val="22"/>
          <w:u w:color="000000" w:themeColor="text1"/>
        </w:rPr>
        <w:noBreakHyphen/>
      </w:r>
      <w:r w:rsidRPr="00AC3B0E">
        <w:rPr>
          <w:rFonts w:eastAsia="Calibri"/>
          <w:color w:val="000000" w:themeColor="text1"/>
          <w:szCs w:val="22"/>
          <w:u w:color="000000" w:themeColor="text1"/>
        </w:rPr>
        <w:t>30. Covered pharmacist services shall be subject to department protocols and utilization controls.</w:t>
      </w:r>
    </w:p>
    <w:p w:rsidR="00AC3B0E" w:rsidRPr="00AC3B0E" w:rsidRDefault="00EE64B7"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Pr>
          <w:rFonts w:eastAsia="Calibri"/>
          <w:color w:val="000000" w:themeColor="text1"/>
          <w:szCs w:val="22"/>
          <w:u w:color="000000" w:themeColor="text1"/>
        </w:rPr>
        <w:tab/>
        <w:t>(C)</w:t>
      </w:r>
      <w:r>
        <w:rPr>
          <w:rFonts w:eastAsia="Calibri"/>
          <w:color w:val="000000" w:themeColor="text1"/>
          <w:szCs w:val="22"/>
          <w:u w:color="000000" w:themeColor="text1"/>
        </w:rPr>
        <w:tab/>
        <w:t>A pharmacist must</w:t>
      </w:r>
      <w:r w:rsidR="00AC3B0E" w:rsidRPr="00AC3B0E">
        <w:rPr>
          <w:rFonts w:eastAsia="Calibri"/>
          <w:color w:val="000000" w:themeColor="text1"/>
          <w:szCs w:val="22"/>
          <w:u w:color="000000" w:themeColor="text1"/>
        </w:rPr>
        <w:t xml:space="preserve"> be enrolled as an ordering, referring, and prescribing provider under the Medicaid program prior to rendering a pharmacist service that is submitted by a Medicaid pharmacy provider for reimbursement pursuant to this section.</w:t>
      </w:r>
    </w:p>
    <w:p w:rsidR="00AC3B0E" w:rsidRPr="00AC3B0E"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color w:val="000000" w:themeColor="text1"/>
          <w:szCs w:val="22"/>
          <w:u w:color="000000" w:themeColor="text1"/>
        </w:rPr>
      </w:pPr>
      <w:r w:rsidRPr="00AC3B0E">
        <w:rPr>
          <w:rFonts w:eastAsia="Calibri"/>
          <w:color w:val="000000" w:themeColor="text1"/>
          <w:szCs w:val="22"/>
          <w:u w:color="000000" w:themeColor="text1"/>
        </w:rPr>
        <w:tab/>
        <w:t>(D)</w:t>
      </w:r>
      <w:r w:rsidRPr="00AC3B0E">
        <w:rPr>
          <w:rFonts w:eastAsia="Calibri"/>
          <w:color w:val="000000" w:themeColor="text1"/>
          <w:szCs w:val="22"/>
          <w:u w:color="000000" w:themeColor="text1"/>
        </w:rPr>
        <w:tab/>
        <w:t xml:space="preserve">The director of the department shall seek any necessary federal approvals to implement this section. This section </w:t>
      </w:r>
      <w:r w:rsidR="00EE64B7">
        <w:rPr>
          <w:rFonts w:eastAsia="Calibri"/>
          <w:color w:val="000000" w:themeColor="text1"/>
          <w:szCs w:val="22"/>
          <w:u w:color="000000" w:themeColor="text1"/>
        </w:rPr>
        <w:t>may</w:t>
      </w:r>
      <w:r w:rsidRPr="00AC3B0E">
        <w:rPr>
          <w:rFonts w:eastAsia="Calibri"/>
          <w:color w:val="000000" w:themeColor="text1"/>
          <w:szCs w:val="22"/>
          <w:u w:color="000000" w:themeColor="text1"/>
        </w:rPr>
        <w:t xml:space="preserve"> not be implemented until the necessary federal </w:t>
      </w:r>
      <w:r w:rsidR="00EE64B7">
        <w:rPr>
          <w:rFonts w:eastAsia="Calibri"/>
          <w:color w:val="000000" w:themeColor="text1"/>
          <w:szCs w:val="22"/>
          <w:u w:color="000000" w:themeColor="text1"/>
        </w:rPr>
        <w:t>approvals are obtained and may</w:t>
      </w:r>
      <w:r w:rsidRPr="00AC3B0E">
        <w:rPr>
          <w:rFonts w:eastAsia="Calibri"/>
          <w:color w:val="000000" w:themeColor="text1"/>
          <w:szCs w:val="22"/>
          <w:u w:color="000000" w:themeColor="text1"/>
        </w:rPr>
        <w:t xml:space="preserve"> be implemented only to the extent that federal financial participation is available.</w:t>
      </w:r>
    </w:p>
    <w:p w:rsidR="00A326A8" w:rsidRDefault="00AC3B0E" w:rsidP="00AC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0E">
        <w:rPr>
          <w:rFonts w:eastAsiaTheme="minorHAnsi"/>
          <w:szCs w:val="22"/>
          <w:u w:color="000000" w:themeColor="text1"/>
        </w:rPr>
        <w:tab/>
        <w:t>(E)</w:t>
      </w:r>
      <w:r w:rsidRPr="00AC3B0E">
        <w:rPr>
          <w:rFonts w:eastAsiaTheme="minorHAnsi"/>
          <w:szCs w:val="22"/>
          <w:u w:color="000000" w:themeColor="text1"/>
        </w:rPr>
        <w:tab/>
        <w:t>This section does not restrict or prohibit any services currently provided by pharmacists as authorized by law, including, but not limited to</w:t>
      </w:r>
      <w:r w:rsidR="00EE64B7">
        <w:rPr>
          <w:rFonts w:eastAsiaTheme="minorHAnsi"/>
          <w:szCs w:val="22"/>
          <w:u w:color="000000" w:themeColor="text1"/>
        </w:rPr>
        <w:t>, this chapter or the Medicaid State P</w:t>
      </w:r>
      <w:r w:rsidRPr="00AC3B0E">
        <w:rPr>
          <w:rFonts w:eastAsiaTheme="minorHAnsi"/>
          <w:szCs w:val="22"/>
          <w:u w:color="000000" w:themeColor="text1"/>
        </w:rPr>
        <w:t>lan.”</w:t>
      </w:r>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A8" w:rsidRDefault="00A326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B0E">
        <w:t>3</w:t>
      </w:r>
      <w:r>
        <w:t>.</w:t>
      </w:r>
      <w:r>
        <w:tab/>
        <w:t>This act takes effect upon approval by the Governor.</w:t>
      </w:r>
    </w:p>
    <w:p w:rsidR="006A042A" w:rsidRDefault="009C2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031" w:rsidRDefault="00F92031" w:rsidP="00F92031">
      <w:pPr>
        <w:suppressAutoHyphens/>
      </w:pPr>
    </w:p>
    <w:sectPr w:rsidR="00F92031" w:rsidSect="00F920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02C" w:rsidRDefault="00A3102C" w:rsidP="009F0C77">
      <w:r>
        <w:separator/>
      </w:r>
    </w:p>
  </w:endnote>
  <w:endnote w:type="continuationSeparator" w:id="0">
    <w:p w:rsidR="00A3102C" w:rsidRDefault="00A31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80CC2F-1334-49AA-A59B-2212B27BB027}"/>
    <w:embedBold r:id="rId2" w:fontKey="{5A86621C-FDA0-4855-A792-B9E5193AF0AE}"/>
  </w:font>
  <w:font w:name="Calibri">
    <w:panose1 w:val="020F0502020204030204"/>
    <w:charset w:val="00"/>
    <w:family w:val="swiss"/>
    <w:pitch w:val="variable"/>
    <w:sig w:usb0="E00002FF" w:usb1="4000ACFF" w:usb2="00000001" w:usb3="00000000" w:csb0="0000019F" w:csb1="00000000"/>
    <w:embedRegular r:id="rId3" w:fontKey="{C6AA7DB1-E140-431C-A59A-D74C45CADC2A}"/>
    <w:embedBold r:id="rId4" w:fontKey="{DC29653F-B529-46C4-BD08-D105BE998F72}"/>
  </w:font>
  <w:font w:name="Segoe UI">
    <w:panose1 w:val="020B0502040204020203"/>
    <w:charset w:val="00"/>
    <w:family w:val="swiss"/>
    <w:pitch w:val="variable"/>
    <w:sig w:usb0="E10022FF" w:usb1="C000E47F" w:usb2="00000029" w:usb3="00000000" w:csb0="000001DF" w:csb1="00000000"/>
    <w:embedRegular r:id="rId5" w:fontKey="{B8A9FD74-EE50-4FEA-AB2E-BAD1E91AAF39}"/>
  </w:font>
  <w:font w:name="Cambria">
    <w:panose1 w:val="02040503050406030204"/>
    <w:charset w:val="00"/>
    <w:family w:val="roman"/>
    <w:pitch w:val="variable"/>
    <w:sig w:usb0="E00002FF" w:usb1="400004FF" w:usb2="00000000" w:usb3="00000000" w:csb0="0000019F" w:csb1="00000000"/>
    <w:embedRegular r:id="rId6" w:fontKey="{6A72D252-48D8-421C-ACA1-F8A05A050C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031" w:rsidRPr="006B1A7B" w:rsidRDefault="00F92031" w:rsidP="006B1A7B">
    <w:pPr>
      <w:pStyle w:val="Footer"/>
      <w:tabs>
        <w:tab w:val="clear" w:pos="4680"/>
        <w:tab w:val="clear" w:pos="9360"/>
        <w:tab w:val="center" w:pos="2995"/>
      </w:tabs>
      <w:spacing w:before="120"/>
    </w:pPr>
    <w:r>
      <w:t>[3844]</w:t>
    </w:r>
    <w:r>
      <w:tab/>
    </w:r>
    <w:r>
      <w:fldChar w:fldCharType="begin"/>
    </w:r>
    <w:r>
      <w:instrText xml:space="preserve"> PAGE  \* MERGEFORMAT </w:instrText>
    </w:r>
    <w:r>
      <w:fldChar w:fldCharType="separate"/>
    </w:r>
    <w:r w:rsidR="005E1B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02C" w:rsidRDefault="00A3102C" w:rsidP="009F0C77">
      <w:r>
        <w:separator/>
      </w:r>
    </w:p>
  </w:footnote>
  <w:footnote w:type="continuationSeparator" w:id="0">
    <w:p w:rsidR="00A3102C" w:rsidRDefault="00A31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3VR19"/>
    <w:docVar w:name="CoverBillType" w:val="b"/>
    <w:docVar w:name="DocPath" w:val="L:\Council\bills\CC\15503VR19.DOCX"/>
    <w:docVar w:name="dvBillNumber" w:val="3844"/>
    <w:docVar w:name="dvBillNumberPrefix" w:val="H. "/>
    <w:docVar w:name="dvOriginalBody" w:val="House"/>
    <w:docVar w:name="dvSteno" w:val="CC"/>
    <w:docVar w:name="NameofBody" w:val="h"/>
    <w:docVar w:name="vGroup2" w:val="Council"/>
  </w:docVars>
  <w:rsids>
    <w:rsidRoot w:val="00A326A8"/>
    <w:rsid w:val="00011869"/>
    <w:rsid w:val="00015CD6"/>
    <w:rsid w:val="000D1F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D2A"/>
    <w:rsid w:val="004403BD"/>
    <w:rsid w:val="00461441"/>
    <w:rsid w:val="004809EE"/>
    <w:rsid w:val="004E7D54"/>
    <w:rsid w:val="004F0808"/>
    <w:rsid w:val="005273C6"/>
    <w:rsid w:val="00530A69"/>
    <w:rsid w:val="00545593"/>
    <w:rsid w:val="00556EBF"/>
    <w:rsid w:val="00577C6C"/>
    <w:rsid w:val="005A62FE"/>
    <w:rsid w:val="005C2FE2"/>
    <w:rsid w:val="005E1B6D"/>
    <w:rsid w:val="005E2BC9"/>
    <w:rsid w:val="0060176D"/>
    <w:rsid w:val="00605102"/>
    <w:rsid w:val="006215AA"/>
    <w:rsid w:val="006913C9"/>
    <w:rsid w:val="0069470D"/>
    <w:rsid w:val="006A042A"/>
    <w:rsid w:val="006B1A7B"/>
    <w:rsid w:val="006D58AA"/>
    <w:rsid w:val="00734F00"/>
    <w:rsid w:val="00750957"/>
    <w:rsid w:val="00774682"/>
    <w:rsid w:val="007A23C3"/>
    <w:rsid w:val="007A70AE"/>
    <w:rsid w:val="008362E8"/>
    <w:rsid w:val="0085786E"/>
    <w:rsid w:val="008A1768"/>
    <w:rsid w:val="008A489F"/>
    <w:rsid w:val="008F0F33"/>
    <w:rsid w:val="008F4429"/>
    <w:rsid w:val="00931E5A"/>
    <w:rsid w:val="0094021A"/>
    <w:rsid w:val="009B44AF"/>
    <w:rsid w:val="009C2445"/>
    <w:rsid w:val="009C6A0B"/>
    <w:rsid w:val="009F0C77"/>
    <w:rsid w:val="009F4DD1"/>
    <w:rsid w:val="00A02543"/>
    <w:rsid w:val="00A02EC2"/>
    <w:rsid w:val="00A3102C"/>
    <w:rsid w:val="00A326A8"/>
    <w:rsid w:val="00A41684"/>
    <w:rsid w:val="00A64E80"/>
    <w:rsid w:val="00A72BCD"/>
    <w:rsid w:val="00A741D9"/>
    <w:rsid w:val="00A833AB"/>
    <w:rsid w:val="00A8474F"/>
    <w:rsid w:val="00A9741D"/>
    <w:rsid w:val="00AA229E"/>
    <w:rsid w:val="00AC34A2"/>
    <w:rsid w:val="00AC3B0E"/>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49A3"/>
    <w:rsid w:val="00DF3845"/>
    <w:rsid w:val="00E41911"/>
    <w:rsid w:val="00E44B57"/>
    <w:rsid w:val="00E521DA"/>
    <w:rsid w:val="00E92EEF"/>
    <w:rsid w:val="00EE64B7"/>
    <w:rsid w:val="00EF2368"/>
    <w:rsid w:val="00F24442"/>
    <w:rsid w:val="00F50AE3"/>
    <w:rsid w:val="00F655B7"/>
    <w:rsid w:val="00F656BA"/>
    <w:rsid w:val="00F67CF1"/>
    <w:rsid w:val="00F728AA"/>
    <w:rsid w:val="00F840F0"/>
    <w:rsid w:val="00F92031"/>
    <w:rsid w:val="00FB0D0D"/>
    <w:rsid w:val="00FB43B4"/>
    <w:rsid w:val="00FB6B0B"/>
    <w:rsid w:val="00FF2AB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9F0A56-46EE-422D-A52A-F1D187FA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4B7"/>
    <w:rPr>
      <w:rFonts w:ascii="Segoe UI" w:eastAsia="Times New Roman" w:hAnsi="Segoe UI" w:cs="Segoe UI"/>
      <w:sz w:val="18"/>
      <w:szCs w:val="18"/>
    </w:rPr>
  </w:style>
  <w:style w:type="character" w:styleId="Hyperlink">
    <w:name w:val="Hyperlink"/>
    <w:basedOn w:val="DefaultParagraphFont"/>
    <w:uiPriority w:val="99"/>
    <w:unhideWhenUsed/>
    <w:rsid w:val="00F920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44_2019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F9010-D4A1-440D-A67E-1D32000E9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C85610D.dotm</Template>
  <TotalTime>0</TotalTime>
  <Pages>3</Pages>
  <Words>1807</Words>
  <Characters>10304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3844: Pharmacy Access Act - South Carolina Legislature Online</dc:title>
  <dc:creator>Chris Charlton</dc:creator>
  <cp:lastModifiedBy>S Volk</cp:lastModifiedBy>
  <cp:revision>2</cp:revision>
  <cp:lastPrinted>2019-02-04T19:15:00Z</cp:lastPrinted>
  <dcterms:created xsi:type="dcterms:W3CDTF">2019-03-11T21:44:00Z</dcterms:created>
  <dcterms:modified xsi:type="dcterms:W3CDTF">2019-03-11T21:44:00Z</dcterms:modified>
</cp:coreProperties>
</file>