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6DD" w:rsidRDefault="00AA36DD" w:rsidP="00AA36DD">
      <w:pPr>
        <w:widowControl w:val="0"/>
        <w:jc w:val="center"/>
      </w:pPr>
      <w:r w:rsidRPr="00AA36DD">
        <w:rPr>
          <w:b/>
        </w:rPr>
        <w:t>South Carolina General Assembly</w:t>
      </w:r>
    </w:p>
    <w:p w:rsidR="00AA36DD" w:rsidRDefault="00AA36DD" w:rsidP="00AA36DD">
      <w:pPr>
        <w:widowControl w:val="0"/>
        <w:jc w:val="center"/>
      </w:pPr>
      <w:r>
        <w:t>123rd Session, 2019-2020</w:t>
      </w:r>
    </w:p>
    <w:p w:rsidR="00AA36DD" w:rsidRDefault="00AA36DD" w:rsidP="00AA36DD">
      <w:pPr>
        <w:widowControl w:val="0"/>
      </w:pPr>
    </w:p>
    <w:p w:rsidR="00AA36DD" w:rsidRDefault="00AA36DD" w:rsidP="00AA36DD">
      <w:pPr>
        <w:widowControl w:val="0"/>
        <w:rPr>
          <w:b/>
        </w:rPr>
      </w:pPr>
      <w:r w:rsidRPr="00AA36DD">
        <w:rPr>
          <w:b/>
        </w:rPr>
        <w:t>S.</w:t>
      </w:r>
      <w:r>
        <w:rPr>
          <w:b/>
        </w:rPr>
        <w:t xml:space="preserve"> </w:t>
      </w:r>
      <w:r w:rsidRPr="00AA36DD">
        <w:rPr>
          <w:b/>
        </w:rPr>
        <w:t>57</w:t>
      </w:r>
    </w:p>
    <w:p w:rsidR="00AA36DD" w:rsidRDefault="00AA36DD" w:rsidP="00AA36DD">
      <w:pPr>
        <w:widowControl w:val="0"/>
        <w:rPr>
          <w:b/>
        </w:rPr>
      </w:pPr>
    </w:p>
    <w:p w:rsidR="00AA36DD" w:rsidRDefault="00AA36DD" w:rsidP="00AA36DD">
      <w:pPr>
        <w:widowControl w:val="0"/>
      </w:pPr>
      <w:r w:rsidRPr="00AA36DD">
        <w:rPr>
          <w:b/>
        </w:rPr>
        <w:t>STATUS INFORMATION</w:t>
      </w:r>
    </w:p>
    <w:p w:rsidR="00AA36DD" w:rsidRDefault="00AA36DD" w:rsidP="00AA36DD">
      <w:pPr>
        <w:widowControl w:val="0"/>
      </w:pPr>
    </w:p>
    <w:p w:rsidR="00AA36DD" w:rsidRDefault="00AA36DD" w:rsidP="00AA36DD">
      <w:pPr>
        <w:widowControl w:val="0"/>
      </w:pPr>
      <w:r>
        <w:t>Joint Resolution</w:t>
      </w:r>
    </w:p>
    <w:p w:rsidR="00AA36DD" w:rsidRDefault="00AA36DD" w:rsidP="00AA36DD">
      <w:pPr>
        <w:widowControl w:val="0"/>
      </w:pPr>
      <w:r>
        <w:t>Sponsors: Senator Malloy</w:t>
      </w:r>
    </w:p>
    <w:p w:rsidR="00AA36DD" w:rsidRDefault="00AA36DD" w:rsidP="00AA36DD">
      <w:pPr>
        <w:widowControl w:val="0"/>
      </w:pPr>
      <w:r>
        <w:t>Document Path: l:\s-res\gm\027gamb.kmm.gm.docx</w:t>
      </w:r>
    </w:p>
    <w:p w:rsidR="00AA36DD" w:rsidRDefault="00AA36DD" w:rsidP="00AA36DD">
      <w:pPr>
        <w:widowControl w:val="0"/>
      </w:pPr>
    </w:p>
    <w:p w:rsidR="00893AAC" w:rsidRDefault="00893AAC" w:rsidP="00AA36DD">
      <w:pPr>
        <w:widowControl w:val="0"/>
      </w:pPr>
      <w:r>
        <w:t>Introduced in the Senate on January 8, 2019</w:t>
      </w:r>
    </w:p>
    <w:p w:rsidR="00893AAC" w:rsidRPr="00893AAC" w:rsidRDefault="00893AAC" w:rsidP="00AA36DD">
      <w:pPr>
        <w:widowControl w:val="0"/>
      </w:pPr>
      <w:r>
        <w:t xml:space="preserve">Currently residing in the Senate Committee on </w:t>
      </w:r>
      <w:r w:rsidRPr="00893AAC">
        <w:rPr>
          <w:b/>
        </w:rPr>
        <w:t>Judiciary</w:t>
      </w:r>
    </w:p>
    <w:p w:rsidR="00893AAC" w:rsidRDefault="00893AAC" w:rsidP="00AA36DD">
      <w:pPr>
        <w:widowControl w:val="0"/>
      </w:pPr>
    </w:p>
    <w:p w:rsidR="00AA36DD" w:rsidRDefault="00AA36DD" w:rsidP="00AA36DD">
      <w:pPr>
        <w:widowControl w:val="0"/>
      </w:pPr>
      <w:r>
        <w:t xml:space="preserve">Summary: </w:t>
      </w:r>
      <w:r w:rsidR="005D3D66">
        <w:t>Gambling and gaming</w:t>
      </w:r>
    </w:p>
    <w:p w:rsidR="00AA36DD" w:rsidRDefault="00AA36DD" w:rsidP="00AA36DD">
      <w:pPr>
        <w:widowControl w:val="0"/>
      </w:pPr>
    </w:p>
    <w:p w:rsidR="00AA36DD" w:rsidRDefault="00AA36DD" w:rsidP="00AA36DD">
      <w:pPr>
        <w:widowControl w:val="0"/>
      </w:pPr>
    </w:p>
    <w:p w:rsidR="00AA36DD" w:rsidRDefault="00AA36DD" w:rsidP="00AA36DD">
      <w:pPr>
        <w:widowControl w:val="0"/>
        <w:tabs>
          <w:tab w:val="center" w:pos="590"/>
          <w:tab w:val="center" w:pos="1440"/>
          <w:tab w:val="left" w:pos="1872"/>
          <w:tab w:val="left" w:pos="9187"/>
        </w:tabs>
      </w:pPr>
      <w:r w:rsidRPr="00AA36DD">
        <w:rPr>
          <w:b/>
        </w:rPr>
        <w:t>HISTORY OF LEGISLATIVE ACTIONS</w:t>
      </w:r>
    </w:p>
    <w:p w:rsidR="00AA36DD" w:rsidRDefault="00AA36DD" w:rsidP="00AA36DD">
      <w:pPr>
        <w:widowControl w:val="0"/>
        <w:tabs>
          <w:tab w:val="center" w:pos="590"/>
          <w:tab w:val="center" w:pos="1440"/>
          <w:tab w:val="left" w:pos="1872"/>
          <w:tab w:val="left" w:pos="9187"/>
        </w:tabs>
      </w:pPr>
    </w:p>
    <w:p w:rsidR="00AA36DD" w:rsidRPr="00AA36DD" w:rsidRDefault="00AA36DD" w:rsidP="00AA36DD">
      <w:pPr>
        <w:widowControl w:val="0"/>
        <w:tabs>
          <w:tab w:val="center" w:pos="590"/>
          <w:tab w:val="center" w:pos="1440"/>
          <w:tab w:val="left" w:pos="1872"/>
          <w:tab w:val="left" w:pos="9187"/>
        </w:tabs>
      </w:pPr>
      <w:r w:rsidRPr="00AA36DD">
        <w:rPr>
          <w:u w:val="single"/>
        </w:rPr>
        <w:tab/>
        <w:t>Date</w:t>
      </w:r>
      <w:r w:rsidRPr="00AA36DD">
        <w:rPr>
          <w:u w:val="single"/>
        </w:rPr>
        <w:tab/>
        <w:t>Body</w:t>
      </w:r>
      <w:r w:rsidRPr="00AA36DD">
        <w:rPr>
          <w:u w:val="single"/>
        </w:rPr>
        <w:tab/>
        <w:t>Action Description with journal page number</w:t>
      </w:r>
      <w:r w:rsidRPr="00AA36DD">
        <w:rPr>
          <w:u w:val="single"/>
        </w:rPr>
        <w:tab/>
      </w:r>
    </w:p>
    <w:p w:rsidR="00955665" w:rsidRDefault="00955665" w:rsidP="00955665">
      <w:pPr>
        <w:widowControl w:val="0"/>
        <w:tabs>
          <w:tab w:val="right" w:pos="1008"/>
          <w:tab w:val="left" w:pos="1152"/>
          <w:tab w:val="left" w:pos="1872"/>
          <w:tab w:val="left" w:pos="9187"/>
        </w:tabs>
        <w:ind w:left="2088" w:hanging="2088"/>
      </w:pPr>
      <w:r>
        <w:tab/>
        <w:t>12/12/2018</w:t>
      </w:r>
      <w:r>
        <w:tab/>
        <w:t>Senate</w:t>
      </w:r>
      <w:r>
        <w:tab/>
      </w:r>
      <w:r w:rsidRPr="00C51E58">
        <w:t>Prefiled</w:t>
      </w:r>
    </w:p>
    <w:p w:rsidR="00955665" w:rsidRDefault="00955665" w:rsidP="00955665">
      <w:pPr>
        <w:widowControl w:val="0"/>
        <w:tabs>
          <w:tab w:val="right" w:pos="1008"/>
          <w:tab w:val="left" w:pos="1152"/>
          <w:tab w:val="left" w:pos="1872"/>
          <w:tab w:val="left" w:pos="9187"/>
        </w:tabs>
        <w:ind w:left="2088" w:hanging="2088"/>
      </w:pPr>
      <w:r>
        <w:tab/>
        <w:t>12/12/2018</w:t>
      </w:r>
      <w:r>
        <w:tab/>
        <w:t>Senate</w:t>
      </w:r>
      <w:r>
        <w:tab/>
      </w:r>
      <w:r w:rsidRPr="00C51E58">
        <w:t xml:space="preserve">Referred to Committee on </w:t>
      </w:r>
      <w:r w:rsidRPr="00C51E58">
        <w:rPr>
          <w:b/>
        </w:rPr>
        <w:t>Judiciary</w:t>
      </w:r>
    </w:p>
    <w:p w:rsidR="00955665" w:rsidRDefault="00955665" w:rsidP="00955665">
      <w:pPr>
        <w:widowControl w:val="0"/>
        <w:tabs>
          <w:tab w:val="right" w:pos="1008"/>
          <w:tab w:val="left" w:pos="1152"/>
          <w:tab w:val="left" w:pos="1872"/>
          <w:tab w:val="left" w:pos="9187"/>
        </w:tabs>
        <w:ind w:left="2088" w:hanging="2088"/>
      </w:pPr>
      <w:r>
        <w:tab/>
        <w:t>1/8/2019</w:t>
      </w:r>
      <w:r>
        <w:tab/>
        <w:t>Senate</w:t>
      </w:r>
      <w:r>
        <w:tab/>
      </w:r>
      <w:r w:rsidRPr="00C51E58">
        <w:t>Introduced and read first time (</w:t>
      </w:r>
      <w:hyperlink r:id="rId6" w:history="1">
        <w:r w:rsidRPr="00C51E58">
          <w:rPr>
            <w:rStyle w:val="Hyperlink"/>
          </w:rPr>
          <w:t>Senate Journal</w:t>
        </w:r>
        <w:r w:rsidRPr="00C51E58">
          <w:rPr>
            <w:rStyle w:val="Hyperlink"/>
          </w:rPr>
          <w:noBreakHyphen/>
          <w:t>page 63</w:t>
        </w:r>
      </w:hyperlink>
      <w:r w:rsidRPr="00C51E58">
        <w:t>)</w:t>
      </w:r>
    </w:p>
    <w:p w:rsidR="00955665" w:rsidRDefault="00955665" w:rsidP="00955665">
      <w:pPr>
        <w:widowControl w:val="0"/>
        <w:tabs>
          <w:tab w:val="right" w:pos="1008"/>
          <w:tab w:val="left" w:pos="1152"/>
          <w:tab w:val="left" w:pos="1872"/>
          <w:tab w:val="left" w:pos="9187"/>
        </w:tabs>
        <w:ind w:left="2088" w:hanging="2088"/>
      </w:pPr>
      <w:r>
        <w:tab/>
        <w:t>1/8/2019</w:t>
      </w:r>
      <w:r>
        <w:tab/>
        <w:t>Senate</w:t>
      </w:r>
      <w:r>
        <w:tab/>
      </w:r>
      <w:r w:rsidRPr="00C51E58">
        <w:t>Ref</w:t>
      </w:r>
      <w:r>
        <w:t xml:space="preserve">erred to Committee on </w:t>
      </w:r>
      <w:r w:rsidRPr="00C51E58">
        <w:rPr>
          <w:b/>
        </w:rPr>
        <w:t>Judiciary</w:t>
      </w:r>
      <w:r>
        <w:t xml:space="preserve"> </w:t>
      </w:r>
      <w:r w:rsidRPr="00C51E58">
        <w:t>(</w:t>
      </w:r>
      <w:hyperlink r:id="rId7" w:history="1">
        <w:r w:rsidRPr="00C51E58">
          <w:rPr>
            <w:rStyle w:val="Hyperlink"/>
          </w:rPr>
          <w:t>Senate Journal</w:t>
        </w:r>
        <w:r w:rsidRPr="00C51E58">
          <w:rPr>
            <w:rStyle w:val="Hyperlink"/>
          </w:rPr>
          <w:noBreakHyphen/>
          <w:t>page 63</w:t>
        </w:r>
      </w:hyperlink>
      <w:r w:rsidRPr="00C51E58">
        <w:t>)</w:t>
      </w:r>
    </w:p>
    <w:p w:rsidR="00955665" w:rsidRDefault="00955665" w:rsidP="00955665">
      <w:pPr>
        <w:widowControl w:val="0"/>
        <w:tabs>
          <w:tab w:val="right" w:pos="1008"/>
          <w:tab w:val="left" w:pos="1152"/>
          <w:tab w:val="left" w:pos="1872"/>
          <w:tab w:val="left" w:pos="9187"/>
        </w:tabs>
        <w:ind w:left="2088" w:hanging="2088"/>
      </w:pPr>
    </w:p>
    <w:p w:rsidR="00AA36DD" w:rsidRDefault="00AA36DD" w:rsidP="00AA36D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A36DD">
          <w:rPr>
            <w:rStyle w:val="Hyperlink"/>
          </w:rPr>
          <w:t>legislative information</w:t>
        </w:r>
      </w:hyperlink>
      <w:r>
        <w:t xml:space="preserve"> at the website</w:t>
      </w:r>
    </w:p>
    <w:p w:rsidR="00AA36DD" w:rsidRDefault="00AA36DD" w:rsidP="00AA36DD">
      <w:pPr>
        <w:widowControl w:val="0"/>
        <w:tabs>
          <w:tab w:val="right" w:pos="1008"/>
          <w:tab w:val="left" w:pos="1152"/>
          <w:tab w:val="left" w:pos="1872"/>
          <w:tab w:val="left" w:pos="9187"/>
        </w:tabs>
        <w:ind w:left="2088" w:hanging="2088"/>
      </w:pPr>
    </w:p>
    <w:p w:rsidR="00AA36DD" w:rsidRPr="00AA36DD" w:rsidRDefault="00AA36DD" w:rsidP="00AA36DD">
      <w:pPr>
        <w:widowControl w:val="0"/>
        <w:tabs>
          <w:tab w:val="right" w:pos="1008"/>
          <w:tab w:val="left" w:pos="1152"/>
          <w:tab w:val="left" w:pos="1872"/>
          <w:tab w:val="left" w:pos="9187"/>
        </w:tabs>
        <w:ind w:left="2088" w:hanging="2088"/>
      </w:pPr>
    </w:p>
    <w:p w:rsidR="00AA36DD" w:rsidRDefault="00AA36DD" w:rsidP="00AA36DD">
      <w:pPr>
        <w:widowControl w:val="0"/>
      </w:pPr>
      <w:r w:rsidRPr="00AA36DD">
        <w:rPr>
          <w:b/>
        </w:rPr>
        <w:t>VERSIONS OF THIS BILL</w:t>
      </w:r>
    </w:p>
    <w:p w:rsidR="00AA36DD" w:rsidRDefault="00AA36DD" w:rsidP="00AA36DD">
      <w:pPr>
        <w:widowControl w:val="0"/>
      </w:pPr>
    </w:p>
    <w:p w:rsidR="00AA36DD" w:rsidRDefault="000010AA" w:rsidP="00AA36DD">
      <w:pPr>
        <w:widowControl w:val="0"/>
      </w:pPr>
      <w:hyperlink r:id="rId9" w:history="1">
        <w:r w:rsidR="00AA36DD">
          <w:rPr>
            <w:rStyle w:val="Hyperlink"/>
          </w:rPr>
          <w:t>12/12/2018</w:t>
        </w:r>
      </w:hyperlink>
    </w:p>
    <w:p w:rsidR="00AA36DD" w:rsidRDefault="00AA36DD" w:rsidP="00AA36DD"/>
    <w:p w:rsidR="00AA36DD" w:rsidRDefault="00AA36DD" w:rsidP="00AA36DD">
      <w:pPr>
        <w:sectPr w:rsidR="00AA36DD" w:rsidSect="00AA36DD">
          <w:pgSz w:w="12240" w:h="15840" w:code="1"/>
          <w:pgMar w:top="1080" w:right="1440" w:bottom="1080" w:left="1440" w:header="720" w:footer="720" w:gutter="0"/>
          <w:cols w:space="720"/>
          <w:noEndnote/>
          <w:docGrid w:linePitch="360"/>
        </w:sectPr>
      </w:pPr>
    </w:p>
    <w:p w:rsidR="007332DC" w:rsidRPr="00522CE0" w:rsidRDefault="007332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3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C05F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1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D2478">
        <w:rPr>
          <w:color w:val="000000" w:themeColor="text1"/>
          <w:u w:color="000000" w:themeColor="text1"/>
        </w:rPr>
        <w:t>PROPOSING AN AMENDMENT TO ARTICLE XVII OF THE CONSTITUTION OF SOUTH CAROLINA, 1895, RELATING TO MISCELLANEOUS MATTERS, BY ADDING SECTION 16 SO AS TO PROVIDE THAT THE GENERAL ASSEMBLY BY LAW, IN SPECIFIED AREAS OF THE STATE, MAY PROVIDE FOR THE CONDUCT OF GAMBLING AND GAMING ACTIVITIES ON WHICH BETS ARE MADE TO INCLUDE PARI</w:t>
      </w:r>
      <w:r w:rsidR="00AF1905">
        <w:rPr>
          <w:color w:val="000000" w:themeColor="text1"/>
          <w:u w:color="000000" w:themeColor="text1"/>
        </w:rPr>
        <w:noBreakHyphen/>
      </w:r>
      <w:r w:rsidRPr="001D2478">
        <w:rPr>
          <w:color w:val="000000" w:themeColor="text1"/>
          <w:u w:color="000000" w:themeColor="text1"/>
        </w:rPr>
        <w:t>MUTUEL BETTING ON HORSE RACING, SPORTS BETTING ON PROFESSIONAL SPORTS, CASINO ACTIVITIES, SUCH AS CARD AND DICE GAMES WHERE THE SKILL OF THE PLAYER IS INVOLVED IN THE OUTCOME, AND GAMES OF CHANCE WITH THE USE OF ELECTRONIC DEVICES OR GAMING TABLES, ALL OF WHICH MUST BE STRICTLY</w:t>
      </w:r>
      <w:r>
        <w:rPr>
          <w:color w:val="000000" w:themeColor="text1"/>
          <w:u w:color="000000" w:themeColor="text1"/>
        </w:rPr>
        <w:t xml:space="preserve"> </w:t>
      </w:r>
      <w:r w:rsidRPr="001D2478">
        <w:rPr>
          <w:color w:val="000000" w:themeColor="text1"/>
          <w:u w:color="000000" w:themeColor="text1"/>
        </w:rPr>
        <w:t xml:space="preserve">REGULATED AND MAY BE CONDUCTED IN ONE LOCATION OR IN SEPARATE LOCATIONS WITHIN THE SPECIFIED AREA SUBJECT TO SPECIAL LAWS, INCLUDING CRIMINAL LAWS, ENACTED BY THE GENERAL ASSEMBLY, APPLICABLE ONLY IN THE SPECIFIED AREA, WITH THE REVENUE REALIZED BY THE STATE </w:t>
      </w:r>
      <w:r w:rsidRPr="007E2244">
        <w:rPr>
          <w:rFonts w:eastAsia="Times New Roman"/>
          <w:color w:val="000000" w:themeColor="text1"/>
          <w:szCs w:val="20"/>
          <w:u w:color="000000" w:themeColor="text1"/>
        </w:rPr>
        <w:t xml:space="preserve">TO BE </w:t>
      </w:r>
      <w:r>
        <w:rPr>
          <w:rFonts w:eastAsia="Times New Roman"/>
          <w:color w:val="000000" w:themeColor="text1"/>
          <w:szCs w:val="20"/>
          <w:u w:color="000000" w:themeColor="text1"/>
        </w:rPr>
        <w:t xml:space="preserve">ALLOCATED TO THE STATE’S RETIREMENT SYSTEMS IN ORDER TO ACHIEVE AND MAINTAIN </w:t>
      </w:r>
      <w:r>
        <w:t>A RATIO OF THE ACTUARIAL VALUE OF THE SYSTEMS ASSETS TO THE ACTUARIAL ACCRUED LIABILITY OF THE SYSTEMS THAT IS EQUAL TO OR GREATER THAN NINETY PERCENT, TO PROVIDE THAT ANY REVENUE REALIZED ABOVE THE AMOUNT NECESSARY TO ACHIEVE AND MAINTAIN THAT RATIO SHALL BE DEPOSITED IN THE STATE’S GENERAL FUND</w:t>
      </w:r>
      <w:r w:rsidRPr="001D2478">
        <w:rPr>
          <w:color w:val="000000" w:themeColor="text1"/>
          <w:u w:color="000000" w:themeColor="text1"/>
        </w:rPr>
        <w:t xml:space="preserve">; AND BY PROPOSING AN AMENDMENT TO SECTION 8, ARTICLE XVII OF THE CONSTITUTION OF SOUTH CAROLINA, 1895, RELATING TO MISCELLANEOUS MATTERS, BY DELETING SECTION 8 WHICH MAKES IT UNLAWFUL FOR A PERSON HOLDING </w:t>
      </w:r>
      <w:r w:rsidRPr="001D2478">
        <w:rPr>
          <w:color w:val="000000" w:themeColor="text1"/>
          <w:u w:color="000000" w:themeColor="text1"/>
        </w:rPr>
        <w:lastRenderedPageBreak/>
        <w:t>AN OFFICE OF HONOR, TRUST OR PROFIT TO ENGAGE IN GAMBLING OR BETTING ON GAMES OF CHANCE, AND REQUIRES THE 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05FD" w:rsidRDefault="006C05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C05FD" w:rsidRDefault="006C05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1897" w:rsidRPr="007E2244" w:rsidRDefault="006C05FD"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701897" w:rsidRPr="007E2244">
        <w:rPr>
          <w:rFonts w:eastAsia="Times New Roman"/>
          <w:color w:val="000000" w:themeColor="text1"/>
          <w:szCs w:val="20"/>
          <w:u w:color="000000" w:themeColor="text1"/>
        </w:rPr>
        <w:t>It is proposed that Article XVII of the Constitution of this State be amended by adding:</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01897"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“Section 16.</w:t>
      </w:r>
      <w:r w:rsidRPr="007E2244">
        <w:rPr>
          <w:rFonts w:eastAsia="Times New Roman"/>
          <w:color w:val="000000" w:themeColor="text1"/>
          <w:szCs w:val="20"/>
          <w:u w:color="000000" w:themeColor="text1"/>
        </w:rPr>
        <w:tab/>
        <w:t>The General Assembly by law may provide in specified areas of the State for the conduct of gambling and gaming activities on which bets are made to include pari</w:t>
      </w:r>
      <w:r w:rsidR="00AF1905">
        <w:rPr>
          <w:rFonts w:eastAsia="Times New Roman"/>
          <w:color w:val="000000" w:themeColor="text1"/>
          <w:szCs w:val="20"/>
          <w:u w:color="000000" w:themeColor="text1"/>
        </w:rPr>
        <w:noBreakHyphen/>
      </w:r>
      <w:r w:rsidRPr="007E2244">
        <w:rPr>
          <w:rFonts w:eastAsia="Times New Roman"/>
          <w:color w:val="000000" w:themeColor="text1"/>
          <w:szCs w:val="20"/>
          <w:u w:color="000000" w:themeColor="text1"/>
        </w:rPr>
        <w:t xml:space="preserve">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to be </w:t>
      </w:r>
      <w:r>
        <w:rPr>
          <w:rFonts w:eastAsia="Times New Roman"/>
          <w:color w:val="000000" w:themeColor="text1"/>
          <w:szCs w:val="20"/>
          <w:u w:color="000000" w:themeColor="text1"/>
        </w:rPr>
        <w:t xml:space="preserve">allocated to the State’s retirement systems in order to achieve and maintain </w:t>
      </w:r>
      <w:r>
        <w:t xml:space="preserve">a ratio of the actuarial value of the systems assets to the actuarial accrued liability of the systems that is equal to or greater than ninety percent. Any revenue realized above the amount necessary to achieve and maintain that ratio shall be deposited in the State’s general fund. </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Notwithstanding the provisions of Section 14, Article VIII or any other provision of this Constitution, the General Assembly, in establishing the specific locations provided, may alter the application of the criminal laws of this State or any of its political subdivisions and the penalties and sanctions for violations in these locations and may enact special legislation, including criminal laws, relating to or arising from gambling and gaming activities and applicable only in these locations.”</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2.</w:t>
      </w:r>
      <w:r w:rsidRPr="007E2244">
        <w:rPr>
          <w:rFonts w:eastAsia="Times New Roman"/>
          <w:color w:val="000000" w:themeColor="text1"/>
          <w:szCs w:val="20"/>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“Must Article XVII of the Constitution of this State be amended so as to provide that the General Assembly by law, in specified areas of the State, may provide for the conduct of gambling and gaming activities on which bets are made to include pari</w:t>
      </w:r>
      <w:r w:rsidR="00AF1905">
        <w:rPr>
          <w:rFonts w:eastAsia="Times New Roman"/>
          <w:color w:val="000000" w:themeColor="text1"/>
          <w:szCs w:val="20"/>
          <w:u w:color="000000" w:themeColor="text1"/>
        </w:rPr>
        <w:noBreakHyphen/>
      </w:r>
      <w:r w:rsidRPr="007E2244">
        <w:rPr>
          <w:rFonts w:eastAsia="Times New Roman"/>
          <w:color w:val="000000" w:themeColor="text1"/>
          <w:szCs w:val="20"/>
          <w:u w:color="000000" w:themeColor="text1"/>
        </w:rPr>
        <w:t xml:space="preserve">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and local jurisdictions to be used </w:t>
      </w:r>
      <w:r>
        <w:rPr>
          <w:rFonts w:eastAsia="Times New Roman"/>
          <w:color w:val="000000" w:themeColor="text1"/>
          <w:szCs w:val="20"/>
          <w:u w:color="000000" w:themeColor="text1"/>
        </w:rPr>
        <w:t>to reduce the unfunded liabilities of the State’s retirement systems until the actuarially funded ratio equals or exceeds ninety percent with any remaining funds deposited in the State’s general fund</w:t>
      </w:r>
      <w:r w:rsidRPr="007E2244">
        <w:rPr>
          <w:rFonts w:eastAsia="Times New Roman"/>
          <w:color w:val="000000" w:themeColor="text1"/>
          <w:szCs w:val="20"/>
          <w:u w:color="000000" w:themeColor="text1"/>
        </w:rPr>
        <w:t>, and to allow the General Assembly to enact special laws, including criminal laws, applicable only in the specified area in which gambling is allowed pursuant to this new section?</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7E2244">
        <w:rPr>
          <w:rFonts w:eastAsia="Times New Roman"/>
          <w:szCs w:val="20"/>
        </w:rPr>
        <w:t>Yes</w:t>
      </w:r>
      <w:r w:rsidRPr="007E2244">
        <w:rPr>
          <w:rFonts w:eastAsia="Times New Roman"/>
          <w:szCs w:val="20"/>
        </w:rPr>
        <w:tab/>
      </w:r>
      <w:r w:rsidRPr="007E2244">
        <w:rPr>
          <w:rFonts w:ascii="Wingdings" w:eastAsia="Times New Roman" w:hAnsi="Wingdings"/>
          <w:szCs w:val="20"/>
        </w:rPr>
        <w:t></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7E2244">
        <w:rPr>
          <w:rFonts w:eastAsia="Times New Roman"/>
          <w:szCs w:val="20"/>
        </w:rPr>
        <w:t>No</w:t>
      </w:r>
      <w:r w:rsidRPr="007E2244">
        <w:rPr>
          <w:rFonts w:eastAsia="Times New Roman"/>
          <w:szCs w:val="20"/>
        </w:rPr>
        <w:tab/>
      </w:r>
      <w:r w:rsidRPr="007E2244">
        <w:rPr>
          <w:rFonts w:ascii="Wingdings" w:eastAsia="Times New Roman" w:hAnsi="Wingdings"/>
          <w:szCs w:val="20"/>
        </w:rPr>
        <w:t></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E2244">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3.</w:t>
      </w:r>
      <w:r w:rsidRPr="007E2244">
        <w:rPr>
          <w:rFonts w:eastAsia="Times New Roman"/>
          <w:color w:val="000000" w:themeColor="text1"/>
          <w:szCs w:val="20"/>
          <w:u w:color="000000" w:themeColor="text1"/>
        </w:rPr>
        <w:tab/>
        <w:t>It is proposed that Section 8, Article XVII of the Constitution of this State be amended to read:</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“Section 8.</w:t>
      </w:r>
      <w:r w:rsidRPr="007E2244">
        <w:rPr>
          <w:rFonts w:eastAsia="Times New Roman"/>
          <w:color w:val="000000" w:themeColor="text1"/>
          <w:szCs w:val="20"/>
          <w:u w:color="000000" w:themeColor="text1"/>
        </w:rPr>
        <w:tab/>
      </w:r>
      <w:r w:rsidRPr="007E2244">
        <w:rPr>
          <w:rFonts w:eastAsia="Times New Roman"/>
          <w:strike/>
          <w:color w:val="000000" w:themeColor="text1"/>
          <w:szCs w:val="20"/>
          <w:u w:color="000000" w:themeColor="text1"/>
        </w:rPr>
        <w:t>It shall be unlawful for any person holding an office of honor, trust or profit to engage in gambling or betting on games of chance; and any such officer, upon conviction thereof, shall become thereby disqualified from the further exercise of the functions of his office, and the office of said person shall become vacant, as in the case of resignation or death.</w:t>
      </w:r>
      <w:r w:rsidRPr="007E2244">
        <w:rPr>
          <w:rFonts w:eastAsia="Times New Roman"/>
          <w:color w:val="000000" w:themeColor="text1"/>
          <w:szCs w:val="20"/>
          <w:u w:color="000000" w:themeColor="text1"/>
        </w:rPr>
        <w:t xml:space="preserve"> </w:t>
      </w:r>
      <w:r w:rsidRPr="007E2244">
        <w:rPr>
          <w:rFonts w:eastAsia="Times New Roman"/>
          <w:color w:val="000000" w:themeColor="text1"/>
          <w:szCs w:val="20"/>
          <w:u w:val="single" w:color="000000" w:themeColor="text1"/>
        </w:rPr>
        <w:t>(Reserved.)</w:t>
      </w:r>
      <w:r w:rsidRPr="007E2244">
        <w:rPr>
          <w:rFonts w:eastAsia="Times New Roman"/>
          <w:color w:val="000000" w:themeColor="text1"/>
          <w:szCs w:val="20"/>
          <w:u w:color="000000" w:themeColor="text1"/>
        </w:rPr>
        <w:t>”</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4.</w:t>
      </w:r>
      <w:r w:rsidRPr="007E2244">
        <w:rPr>
          <w:rFonts w:eastAsia="Times New Roman"/>
          <w:color w:val="000000" w:themeColor="text1"/>
          <w:szCs w:val="20"/>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“Must Section 8, Article XVII of the Constitution of this State be amended so as to delete the provision that makes it unlawful for a person holding an office of honor, trust or profit to engage in gambling or betting on games of chance, and requires the officer’s removal from office upon conviction for a gambling offense?</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2244">
        <w:rPr>
          <w:rFonts w:eastAsia="Times New Roman"/>
          <w:color w:val="000000" w:themeColor="text1"/>
          <w:szCs w:val="20"/>
          <w:u w:color="000000" w:themeColor="text1"/>
        </w:rPr>
        <w:t>Yes</w:t>
      </w:r>
      <w:r w:rsidRPr="007E2244">
        <w:rPr>
          <w:rFonts w:eastAsia="Times New Roman"/>
          <w:color w:val="000000" w:themeColor="text1"/>
          <w:szCs w:val="20"/>
          <w:u w:color="000000" w:themeColor="text1"/>
        </w:rPr>
        <w:tab/>
      </w:r>
      <w:r w:rsidRPr="007E2244">
        <w:rPr>
          <w:rFonts w:ascii="Wingdings" w:eastAsia="Times New Roman" w:hAnsi="Wingdings"/>
          <w:color w:val="000000" w:themeColor="text1"/>
          <w:szCs w:val="20"/>
          <w:u w:color="000000" w:themeColor="text1"/>
        </w:rPr>
        <w:t></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2244">
        <w:rPr>
          <w:rFonts w:eastAsia="Times New Roman"/>
          <w:color w:val="000000" w:themeColor="text1"/>
          <w:szCs w:val="20"/>
          <w:u w:color="000000" w:themeColor="text1"/>
        </w:rPr>
        <w:t>No</w:t>
      </w:r>
      <w:r w:rsidRPr="007E2244">
        <w:rPr>
          <w:rFonts w:eastAsia="Times New Roman"/>
          <w:color w:val="000000" w:themeColor="text1"/>
          <w:szCs w:val="20"/>
          <w:u w:color="000000" w:themeColor="text1"/>
        </w:rPr>
        <w:tab/>
      </w:r>
      <w:r w:rsidRPr="007E2244">
        <w:rPr>
          <w:rFonts w:ascii="Wingdings" w:eastAsia="Times New Roman" w:hAnsi="Wingdings"/>
          <w:color w:val="000000" w:themeColor="text1"/>
          <w:szCs w:val="20"/>
          <w:u w:color="000000" w:themeColor="text1"/>
        </w:rPr>
        <w:t></w:t>
      </w:r>
    </w:p>
    <w:p w:rsidR="00701897" w:rsidRPr="007E2244"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6C05FD" w:rsidRDefault="00701897" w:rsidP="00701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E2244">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EB5AB7" w:rsidRDefault="00AF190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36DD" w:rsidRDefault="00AA36DD" w:rsidP="00AA36DD">
      <w:pPr>
        <w:suppressAutoHyphens/>
        <w:jc w:val="both"/>
        <w:rPr>
          <w:rFonts w:eastAsia="Times New Roman"/>
        </w:rPr>
      </w:pPr>
    </w:p>
    <w:sectPr w:rsidR="00AA36DD" w:rsidSect="00AA36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5FD" w:rsidRDefault="006C05FD" w:rsidP="00522CE0">
      <w:r>
        <w:separator/>
      </w:r>
    </w:p>
  </w:endnote>
  <w:endnote w:type="continuationSeparator" w:id="0">
    <w:p w:rsidR="006C05FD" w:rsidRDefault="006C05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B0D026-A1BE-44B3-B432-0C7654AF8DE6}"/>
    <w:embedBold r:id="rId2" w:fontKey="{B2D2494B-232E-45EF-A7B6-6D8EE17FD502}"/>
  </w:font>
  <w:font w:name="Calibri">
    <w:panose1 w:val="020F0502020204030204"/>
    <w:charset w:val="00"/>
    <w:family w:val="swiss"/>
    <w:pitch w:val="variable"/>
    <w:sig w:usb0="E00002FF" w:usb1="4000ACFF" w:usb2="00000001" w:usb3="00000000" w:csb0="0000019F" w:csb1="00000000"/>
    <w:embedRegular r:id="rId3" w:fontKey="{CFB32AFA-1CFD-4C98-BBA7-1FD5AD01A39D}"/>
    <w:embedBold r:id="rId4" w:fontKey="{9E700355-AB47-43D5-AE84-B33A57186E71}"/>
  </w:font>
  <w:font w:name="Wingdings">
    <w:panose1 w:val="05000000000000000000"/>
    <w:charset w:val="02"/>
    <w:family w:val="auto"/>
    <w:pitch w:val="variable"/>
    <w:sig w:usb0="00000000" w:usb1="10000000" w:usb2="00000000" w:usb3="00000000" w:csb0="80000000" w:csb1="00000000"/>
    <w:embedRegular r:id="rId5" w:fontKey="{FC1184C8-CF22-417E-9659-F440A622F7C3}"/>
  </w:font>
  <w:font w:name="Cambria">
    <w:panose1 w:val="02040503050406030204"/>
    <w:charset w:val="00"/>
    <w:family w:val="roman"/>
    <w:pitch w:val="variable"/>
    <w:sig w:usb0="E00002FF" w:usb1="400004FF" w:usb2="00000000" w:usb3="00000000" w:csb0="0000019F" w:csb1="00000000"/>
    <w:embedRegular r:id="rId6" w:fontKey="{1910C019-22BA-4697-A1FD-4830782E63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6DD" w:rsidRPr="007332DC" w:rsidRDefault="00AA36DD" w:rsidP="007332DC">
    <w:pPr>
      <w:pStyle w:val="Footer"/>
      <w:tabs>
        <w:tab w:val="clear" w:pos="4680"/>
        <w:tab w:val="clear" w:pos="9360"/>
        <w:tab w:val="center" w:pos="2995"/>
      </w:tabs>
      <w:spacing w:before="120"/>
    </w:pPr>
    <w:r>
      <w:t>[57]</w:t>
    </w:r>
    <w:r>
      <w:tab/>
    </w:r>
    <w:r>
      <w:fldChar w:fldCharType="begin"/>
    </w:r>
    <w:r>
      <w:instrText xml:space="preserve"> PAGE  \* MERGEFORMAT </w:instrText>
    </w:r>
    <w:r>
      <w:fldChar w:fldCharType="separate"/>
    </w:r>
    <w:r w:rsidR="005D3D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5FD" w:rsidRDefault="006C05FD" w:rsidP="00522CE0">
      <w:r>
        <w:separator/>
      </w:r>
    </w:p>
  </w:footnote>
  <w:footnote w:type="continuationSeparator" w:id="0">
    <w:p w:rsidR="006C05FD" w:rsidRDefault="006C05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GAMB.KMM.GM"/>
    <w:docVar w:name="CoverAttorneyInitials" w:val="KMM"/>
    <w:docVar w:name="CoverAttorneyLastName" w:val="Moffitt"/>
    <w:docVar w:name="CoverBillType" w:val="j"/>
    <w:docVar w:name="CoverSenator" w:val="GM"/>
    <w:docVar w:name="dvBillNumber" w:val="57"/>
    <w:docVar w:name="dvBillNumberPrefix" w:val="S. "/>
    <w:docVar w:name="dvOriginalBody" w:val="Senate"/>
    <w:docVar w:name="fulldraftpath" w:val="L:\S-RES\GM\027GAMB.KMM.GM.DOCX"/>
    <w:docVar w:name="NameofBody" w:val="S"/>
    <w:docVar w:name="vgroup2" w:val="S-RES"/>
  </w:docVars>
  <w:rsids>
    <w:rsidRoot w:val="006C05FD"/>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3D66"/>
    <w:rsid w:val="005F07AC"/>
    <w:rsid w:val="005F1745"/>
    <w:rsid w:val="006A1802"/>
    <w:rsid w:val="006C05FD"/>
    <w:rsid w:val="006C0CBB"/>
    <w:rsid w:val="006C74EA"/>
    <w:rsid w:val="00701897"/>
    <w:rsid w:val="00720D40"/>
    <w:rsid w:val="007318D4"/>
    <w:rsid w:val="007332DC"/>
    <w:rsid w:val="00765784"/>
    <w:rsid w:val="007A4390"/>
    <w:rsid w:val="007E5CB7"/>
    <w:rsid w:val="008314D2"/>
    <w:rsid w:val="00870F6F"/>
    <w:rsid w:val="00893AAC"/>
    <w:rsid w:val="008B2F42"/>
    <w:rsid w:val="008B32D6"/>
    <w:rsid w:val="008C3697"/>
    <w:rsid w:val="008E185F"/>
    <w:rsid w:val="008F023B"/>
    <w:rsid w:val="00904E16"/>
    <w:rsid w:val="009162B3"/>
    <w:rsid w:val="00927C62"/>
    <w:rsid w:val="00955665"/>
    <w:rsid w:val="00983951"/>
    <w:rsid w:val="00984124"/>
    <w:rsid w:val="00984640"/>
    <w:rsid w:val="00995C37"/>
    <w:rsid w:val="009B1F62"/>
    <w:rsid w:val="009C118A"/>
    <w:rsid w:val="00A02011"/>
    <w:rsid w:val="00A4011E"/>
    <w:rsid w:val="00A86015"/>
    <w:rsid w:val="00A9594E"/>
    <w:rsid w:val="00AA36DD"/>
    <w:rsid w:val="00AE59C8"/>
    <w:rsid w:val="00AF033C"/>
    <w:rsid w:val="00AF1905"/>
    <w:rsid w:val="00B10098"/>
    <w:rsid w:val="00B151AD"/>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B5AB7"/>
    <w:rsid w:val="00EC34E1"/>
    <w:rsid w:val="00F0234A"/>
    <w:rsid w:val="00F05CF2"/>
    <w:rsid w:val="00F51241"/>
    <w:rsid w:val="00F52959"/>
    <w:rsid w:val="00F55884"/>
    <w:rsid w:val="00FB7F01"/>
    <w:rsid w:val="00FC0D36"/>
    <w:rsid w:val="00FC3A2B"/>
    <w:rsid w:val="00FE6467"/>
    <w:rsid w:val="00FE7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0699CCD-9FFF-42C7-B8BF-8276A8614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A36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7&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7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1139</Words>
  <Characters>5753</Characters>
  <Application>Microsoft Office Word</Application>
  <DocSecurity>0</DocSecurity>
  <Lines>172</Lines>
  <Paragraphs>38</Paragraphs>
  <ScaleCrop>false</ScaleCrop>
  <Company> </Company>
  <LinksUpToDate>false</LinksUpToDate>
  <CharactersWithSpaces>6864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 Gambling and gaming - South Carolina Legislature Online</dc:title>
  <dc:subject/>
  <dc:creator>Rebecca Landau</dc:creator>
  <cp:keywords/>
  <dc:description/>
  <cp:lastModifiedBy>S Volk</cp:lastModifiedBy>
  <cp:revision>2</cp:revision>
  <dcterms:created xsi:type="dcterms:W3CDTF">2019-01-15T18:12:00Z</dcterms:created>
  <dcterms:modified xsi:type="dcterms:W3CDTF">2019-01-15T18:12:00Z</dcterms:modified>
</cp:coreProperties>
</file>