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CF5" w:rsidRDefault="00070CF5" w:rsidP="00070CF5">
      <w:pPr>
        <w:widowControl w:val="0"/>
        <w:jc w:val="center"/>
      </w:pPr>
      <w:r w:rsidRPr="00070CF5">
        <w:rPr>
          <w:b/>
        </w:rPr>
        <w:t>South Carolina General Assembly</w:t>
      </w:r>
    </w:p>
    <w:p w:rsidR="00070CF5" w:rsidRDefault="00070CF5" w:rsidP="00070CF5">
      <w:pPr>
        <w:widowControl w:val="0"/>
        <w:jc w:val="center"/>
      </w:pPr>
      <w:r>
        <w:t>123rd Session, 2019-2020</w:t>
      </w:r>
    </w:p>
    <w:p w:rsidR="00070CF5" w:rsidRDefault="00070CF5" w:rsidP="00070CF5">
      <w:pPr>
        <w:widowControl w:val="0"/>
      </w:pPr>
    </w:p>
    <w:p w:rsidR="00070CF5" w:rsidRDefault="00070CF5" w:rsidP="00070CF5">
      <w:pPr>
        <w:widowControl w:val="0"/>
        <w:rPr>
          <w:b/>
        </w:rPr>
      </w:pPr>
      <w:r w:rsidRPr="00070CF5">
        <w:rPr>
          <w:b/>
        </w:rPr>
        <w:t>S.</w:t>
      </w:r>
      <w:r>
        <w:rPr>
          <w:b/>
        </w:rPr>
        <w:t xml:space="preserve"> </w:t>
      </w:r>
      <w:r w:rsidRPr="00070CF5">
        <w:rPr>
          <w:b/>
        </w:rPr>
        <w:t>907</w:t>
      </w:r>
    </w:p>
    <w:p w:rsidR="00070CF5" w:rsidRDefault="00070CF5" w:rsidP="00070CF5">
      <w:pPr>
        <w:widowControl w:val="0"/>
        <w:rPr>
          <w:b/>
        </w:rPr>
      </w:pPr>
    </w:p>
    <w:p w:rsidR="00070CF5" w:rsidRDefault="00070CF5" w:rsidP="00070CF5">
      <w:pPr>
        <w:widowControl w:val="0"/>
      </w:pPr>
      <w:r w:rsidRPr="00070CF5">
        <w:rPr>
          <w:b/>
        </w:rPr>
        <w:t>STATUS INFORMATION</w:t>
      </w:r>
    </w:p>
    <w:p w:rsidR="00070CF5" w:rsidRDefault="00070CF5" w:rsidP="00070CF5">
      <w:pPr>
        <w:widowControl w:val="0"/>
      </w:pPr>
    </w:p>
    <w:p w:rsidR="00070CF5" w:rsidRDefault="00070CF5" w:rsidP="00070CF5">
      <w:pPr>
        <w:widowControl w:val="0"/>
      </w:pPr>
      <w:r>
        <w:t>General Bill</w:t>
      </w:r>
    </w:p>
    <w:p w:rsidR="00070CF5" w:rsidRDefault="00DB1689" w:rsidP="00070CF5">
      <w:pPr>
        <w:widowControl w:val="0"/>
      </w:pPr>
      <w:r>
        <w:t>Sponsors: Senators Young and Senn</w:t>
      </w:r>
    </w:p>
    <w:p w:rsidR="00070CF5" w:rsidRDefault="00070CF5" w:rsidP="00070CF5">
      <w:pPr>
        <w:widowControl w:val="0"/>
      </w:pPr>
      <w:r>
        <w:t>Document Path: l:\s-res\try\029natu.sp.try.docx</w:t>
      </w:r>
    </w:p>
    <w:p w:rsidR="00070CF5" w:rsidRDefault="00070CF5" w:rsidP="00070CF5">
      <w:pPr>
        <w:widowControl w:val="0"/>
      </w:pPr>
    </w:p>
    <w:p w:rsidR="00F05CFA" w:rsidRDefault="00F05CFA" w:rsidP="00070CF5">
      <w:pPr>
        <w:widowControl w:val="0"/>
      </w:pPr>
      <w:r>
        <w:t>Introduced in the Senate on January 14, 2020</w:t>
      </w:r>
    </w:p>
    <w:p w:rsidR="00F05CFA" w:rsidRPr="00F05CFA" w:rsidRDefault="00F05CFA" w:rsidP="00070CF5">
      <w:pPr>
        <w:widowControl w:val="0"/>
      </w:pPr>
      <w:r>
        <w:t xml:space="preserve">Currently residing in the Senate Committee on </w:t>
      </w:r>
      <w:r w:rsidRPr="00F05CFA">
        <w:rPr>
          <w:b/>
        </w:rPr>
        <w:t>Judiciary</w:t>
      </w:r>
    </w:p>
    <w:p w:rsidR="00F05CFA" w:rsidRDefault="00F05CFA" w:rsidP="00070CF5">
      <w:pPr>
        <w:widowControl w:val="0"/>
      </w:pPr>
    </w:p>
    <w:p w:rsidR="00070CF5" w:rsidRDefault="005B5030" w:rsidP="00070CF5">
      <w:pPr>
        <w:widowControl w:val="0"/>
      </w:pPr>
      <w:r>
        <w:t>Summary: Natural Gas Rate Stabilization Act</w:t>
      </w:r>
    </w:p>
    <w:p w:rsidR="00070CF5" w:rsidRDefault="00070CF5" w:rsidP="00070CF5">
      <w:pPr>
        <w:widowControl w:val="0"/>
      </w:pPr>
    </w:p>
    <w:p w:rsidR="00070CF5" w:rsidRDefault="00070CF5" w:rsidP="00070CF5">
      <w:pPr>
        <w:widowControl w:val="0"/>
      </w:pPr>
    </w:p>
    <w:p w:rsidR="00070CF5" w:rsidRDefault="00070CF5" w:rsidP="00070CF5">
      <w:pPr>
        <w:widowControl w:val="0"/>
        <w:tabs>
          <w:tab w:val="center" w:pos="590"/>
          <w:tab w:val="center" w:pos="1440"/>
          <w:tab w:val="left" w:pos="1872"/>
          <w:tab w:val="left" w:pos="9187"/>
        </w:tabs>
      </w:pPr>
      <w:r w:rsidRPr="00070CF5">
        <w:rPr>
          <w:b/>
        </w:rPr>
        <w:t>HISTORY OF LEGISLATIVE ACTIONS</w:t>
      </w:r>
    </w:p>
    <w:p w:rsidR="00070CF5" w:rsidRDefault="00070CF5" w:rsidP="00070CF5">
      <w:pPr>
        <w:widowControl w:val="0"/>
        <w:tabs>
          <w:tab w:val="center" w:pos="590"/>
          <w:tab w:val="center" w:pos="1440"/>
          <w:tab w:val="left" w:pos="1872"/>
          <w:tab w:val="left" w:pos="9187"/>
        </w:tabs>
      </w:pPr>
    </w:p>
    <w:p w:rsidR="00070CF5" w:rsidRPr="00070CF5" w:rsidRDefault="00070CF5" w:rsidP="00070CF5">
      <w:pPr>
        <w:widowControl w:val="0"/>
        <w:tabs>
          <w:tab w:val="center" w:pos="590"/>
          <w:tab w:val="center" w:pos="1440"/>
          <w:tab w:val="left" w:pos="1872"/>
          <w:tab w:val="left" w:pos="9187"/>
        </w:tabs>
      </w:pPr>
      <w:r w:rsidRPr="00070CF5">
        <w:rPr>
          <w:u w:val="single"/>
        </w:rPr>
        <w:tab/>
        <w:t>Date</w:t>
      </w:r>
      <w:r w:rsidRPr="00070CF5">
        <w:rPr>
          <w:u w:val="single"/>
        </w:rPr>
        <w:tab/>
        <w:t>Body</w:t>
      </w:r>
      <w:r w:rsidRPr="00070CF5">
        <w:rPr>
          <w:u w:val="single"/>
        </w:rPr>
        <w:tab/>
        <w:t>Action Description with journal page number</w:t>
      </w:r>
      <w:r w:rsidRPr="00070CF5">
        <w:rPr>
          <w:u w:val="single"/>
        </w:rPr>
        <w:tab/>
      </w:r>
    </w:p>
    <w:p w:rsidR="007378D9" w:rsidRDefault="007378D9" w:rsidP="007378D9">
      <w:pPr>
        <w:widowControl w:val="0"/>
        <w:tabs>
          <w:tab w:val="right" w:pos="1008"/>
          <w:tab w:val="left" w:pos="1152"/>
          <w:tab w:val="left" w:pos="1872"/>
          <w:tab w:val="left" w:pos="9187"/>
        </w:tabs>
        <w:ind w:left="2088" w:hanging="2088"/>
      </w:pPr>
      <w:r>
        <w:tab/>
        <w:t>12/11/2019</w:t>
      </w:r>
      <w:r>
        <w:tab/>
        <w:t>Senate</w:t>
      </w:r>
      <w:r>
        <w:tab/>
        <w:t>Prefiled</w:t>
      </w:r>
    </w:p>
    <w:p w:rsidR="007378D9" w:rsidRDefault="007378D9" w:rsidP="007378D9">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C53974">
        <w:rPr>
          <w:b/>
        </w:rPr>
        <w:t>Judiciary</w:t>
      </w:r>
    </w:p>
    <w:p w:rsidR="007378D9" w:rsidRDefault="007378D9" w:rsidP="007378D9">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C53974">
          <w:rPr>
            <w:rStyle w:val="Hyperlink"/>
          </w:rPr>
          <w:t>Senate Journal</w:t>
        </w:r>
        <w:r w:rsidRPr="00C53974">
          <w:rPr>
            <w:rStyle w:val="Hyperlink"/>
          </w:rPr>
          <w:noBreakHyphen/>
          <w:t>page 35</w:t>
        </w:r>
      </w:hyperlink>
      <w:r>
        <w:t>)</w:t>
      </w:r>
    </w:p>
    <w:p w:rsidR="007378D9" w:rsidRDefault="007378D9" w:rsidP="007378D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53974">
        <w:rPr>
          <w:b/>
        </w:rPr>
        <w:t>Judiciary</w:t>
      </w:r>
      <w:r>
        <w:t xml:space="preserve"> (</w:t>
      </w:r>
      <w:hyperlink r:id="rId7" w:history="1">
        <w:r w:rsidRPr="00C53974">
          <w:rPr>
            <w:rStyle w:val="Hyperlink"/>
          </w:rPr>
          <w:t>Senate Journal</w:t>
        </w:r>
        <w:r w:rsidRPr="00C53974">
          <w:rPr>
            <w:rStyle w:val="Hyperlink"/>
          </w:rPr>
          <w:noBreakHyphen/>
          <w:t>page 35</w:t>
        </w:r>
      </w:hyperlink>
      <w:r>
        <w:t>)</w:t>
      </w:r>
    </w:p>
    <w:p w:rsidR="007378D9" w:rsidRDefault="007378D9" w:rsidP="007378D9">
      <w:pPr>
        <w:widowControl w:val="0"/>
        <w:tabs>
          <w:tab w:val="right" w:pos="1008"/>
          <w:tab w:val="left" w:pos="1152"/>
          <w:tab w:val="left" w:pos="1872"/>
          <w:tab w:val="left" w:pos="9187"/>
        </w:tabs>
        <w:ind w:left="2088" w:hanging="2088"/>
      </w:pPr>
    </w:p>
    <w:p w:rsidR="00070CF5" w:rsidRDefault="00070CF5" w:rsidP="00070CF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70CF5">
          <w:rPr>
            <w:rStyle w:val="Hyperlink"/>
          </w:rPr>
          <w:t>legislative information</w:t>
        </w:r>
      </w:hyperlink>
      <w:r>
        <w:t xml:space="preserve"> at the website</w:t>
      </w:r>
    </w:p>
    <w:p w:rsidR="00070CF5" w:rsidRDefault="00070CF5" w:rsidP="00070CF5">
      <w:pPr>
        <w:widowControl w:val="0"/>
        <w:tabs>
          <w:tab w:val="right" w:pos="1008"/>
          <w:tab w:val="left" w:pos="1152"/>
          <w:tab w:val="left" w:pos="1872"/>
          <w:tab w:val="left" w:pos="9187"/>
        </w:tabs>
        <w:ind w:left="2088" w:hanging="2088"/>
      </w:pPr>
    </w:p>
    <w:p w:rsidR="00070CF5" w:rsidRPr="00070CF5" w:rsidRDefault="00070CF5" w:rsidP="00070CF5">
      <w:pPr>
        <w:widowControl w:val="0"/>
        <w:tabs>
          <w:tab w:val="right" w:pos="1008"/>
          <w:tab w:val="left" w:pos="1152"/>
          <w:tab w:val="left" w:pos="1872"/>
          <w:tab w:val="left" w:pos="9187"/>
        </w:tabs>
        <w:ind w:left="2088" w:hanging="2088"/>
      </w:pPr>
    </w:p>
    <w:p w:rsidR="00070CF5" w:rsidRDefault="00070CF5" w:rsidP="00070CF5">
      <w:pPr>
        <w:widowControl w:val="0"/>
      </w:pPr>
      <w:r w:rsidRPr="00070CF5">
        <w:rPr>
          <w:b/>
        </w:rPr>
        <w:t>VERSIONS OF THIS BILL</w:t>
      </w:r>
    </w:p>
    <w:p w:rsidR="00070CF5" w:rsidRDefault="00070CF5" w:rsidP="00070CF5">
      <w:pPr>
        <w:widowControl w:val="0"/>
      </w:pPr>
    </w:p>
    <w:p w:rsidR="00070CF5" w:rsidRDefault="002A6B07" w:rsidP="00070CF5">
      <w:pPr>
        <w:widowControl w:val="0"/>
      </w:pPr>
      <w:hyperlink r:id="rId9" w:history="1">
        <w:r w:rsidR="00070CF5">
          <w:rPr>
            <w:rStyle w:val="Hyperlink"/>
          </w:rPr>
          <w:t>12/11/2019</w:t>
        </w:r>
      </w:hyperlink>
    </w:p>
    <w:p w:rsidR="00070CF5" w:rsidRDefault="00070CF5" w:rsidP="00070CF5"/>
    <w:p w:rsidR="00070CF5" w:rsidRDefault="00070CF5" w:rsidP="00070CF5">
      <w:pPr>
        <w:sectPr w:rsidR="00070CF5" w:rsidSect="00070CF5">
          <w:pgSz w:w="12240" w:h="15840" w:code="1"/>
          <w:pgMar w:top="1080" w:right="1440" w:bottom="1080" w:left="1440" w:header="720" w:footer="720" w:gutter="0"/>
          <w:cols w:space="720"/>
          <w:noEndnote/>
          <w:docGrid w:linePitch="360"/>
        </w:sectPr>
      </w:pPr>
    </w:p>
    <w:p w:rsidR="000B6312" w:rsidRPr="00522CE0" w:rsidRDefault="000B63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6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D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CFE" w:rsidRDefault="00187CFE" w:rsidP="0018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58-5-410 OF THE 1976 CODE, RELATING TO ELECTION TO COME UNDER THE NATURAL GAS RATE STABILIZATION ACT, TO REMOVE</w:t>
      </w:r>
      <w:r w:rsidR="00EF44A9">
        <w:rPr>
          <w:rFonts w:eastAsia="Times New Roman"/>
        </w:rPr>
        <w:t xml:space="preserve"> THE PROVISION</w:t>
      </w:r>
      <w:r>
        <w:rPr>
          <w:rFonts w:eastAsia="Times New Roman"/>
        </w:rPr>
        <w:t xml:space="preserve"> THAT THE </w:t>
      </w:r>
      <w:r w:rsidRPr="00F40DB8">
        <w:rPr>
          <w:rFonts w:eastAsia="Times New Roman"/>
        </w:rPr>
        <w:t>ELECTION SHALL REMAIN IN EFFECT UNTIL THE NEXT GENERAL RATE PROCEEDING</w:t>
      </w:r>
      <w:r>
        <w:rPr>
          <w:rFonts w:eastAsia="Times New Roman"/>
        </w:rPr>
        <w:t>; TO AMEND SECTION 58-5-415</w:t>
      </w:r>
      <w:r w:rsidR="003331A0">
        <w:rPr>
          <w:rFonts w:eastAsia="Times New Roman"/>
        </w:rPr>
        <w:t xml:space="preserve"> OF THE 1976 CODE</w:t>
      </w:r>
      <w:r>
        <w:rPr>
          <w:rFonts w:eastAsia="Times New Roman"/>
        </w:rPr>
        <w:t xml:space="preserve">, RELATING TO THE DURATION OF THE ELECTION AND THE WITHDRAWAL OF A REQUEST TO COME UNDER THE </w:t>
      </w:r>
      <w:r w:rsidR="00EF44A9">
        <w:rPr>
          <w:rFonts w:eastAsia="Times New Roman"/>
        </w:rPr>
        <w:t>NATURAL GAS RATE STABILIZATION ACT</w:t>
      </w:r>
      <w:r>
        <w:rPr>
          <w:rFonts w:eastAsia="Times New Roman"/>
        </w:rPr>
        <w:t xml:space="preserve">, TO PROVIDE THAT </w:t>
      </w:r>
      <w:r w:rsidRPr="00F40DB8">
        <w:rPr>
          <w:rFonts w:eastAsia="Times New Roman"/>
        </w:rPr>
        <w:t xml:space="preserve">ELECTION BY A UTILITY </w:t>
      </w:r>
      <w:r w:rsidR="00EF44A9">
        <w:rPr>
          <w:rFonts w:eastAsia="Times New Roman"/>
        </w:rPr>
        <w:t>UNDER THE NATURAL GAS RATE STABILIZATION ACT</w:t>
      </w:r>
      <w:r w:rsidRPr="00F40DB8">
        <w:rPr>
          <w:rFonts w:eastAsia="Times New Roman"/>
        </w:rPr>
        <w:t xml:space="preserve"> SHALL REMAIN IN EFFECT FOR FIVE YEARS</w:t>
      </w:r>
      <w:r>
        <w:rPr>
          <w:rFonts w:eastAsia="Times New Roman"/>
        </w:rPr>
        <w:t xml:space="preserve"> AND THAT THE UTILITY MAY OPT</w:t>
      </w:r>
      <w:r w:rsidR="00EF44A9">
        <w:rPr>
          <w:rFonts w:eastAsia="Times New Roman"/>
        </w:rPr>
        <w:t xml:space="preserve"> </w:t>
      </w:r>
      <w:r>
        <w:rPr>
          <w:rFonts w:eastAsia="Times New Roman"/>
        </w:rPr>
        <w:t>OUT; TO AMEND SECTION 58-5-420(2)</w:t>
      </w:r>
      <w:r w:rsidR="003331A0">
        <w:rPr>
          <w:rFonts w:eastAsia="Times New Roman"/>
        </w:rPr>
        <w:t xml:space="preserve"> OF THE 1976 CODE</w:t>
      </w:r>
      <w:r>
        <w:rPr>
          <w:rFonts w:eastAsia="Times New Roman"/>
        </w:rPr>
        <w:t xml:space="preserve">, RELATING TO THE CONTENTS OF </w:t>
      </w:r>
      <w:r w:rsidR="00EF44A9">
        <w:rPr>
          <w:rFonts w:eastAsia="Times New Roman"/>
        </w:rPr>
        <w:t>AN</w:t>
      </w:r>
      <w:r>
        <w:rPr>
          <w:rFonts w:eastAsia="Times New Roman"/>
        </w:rPr>
        <w:t xml:space="preserve"> ORDER, TO REMOVE </w:t>
      </w:r>
      <w:r w:rsidR="00EF44A9">
        <w:rPr>
          <w:rFonts w:eastAsia="Times New Roman"/>
        </w:rPr>
        <w:t>CERTAIN</w:t>
      </w:r>
      <w:r>
        <w:rPr>
          <w:rFonts w:eastAsia="Times New Roman"/>
        </w:rPr>
        <w:t xml:space="preserve"> REQUIREMENT</w:t>
      </w:r>
      <w:r w:rsidR="00EF44A9">
        <w:rPr>
          <w:rFonts w:eastAsia="Times New Roman"/>
        </w:rPr>
        <w:t>S</w:t>
      </w:r>
      <w:r>
        <w:rPr>
          <w:rFonts w:eastAsia="Times New Roman"/>
        </w:rPr>
        <w:t xml:space="preserve"> </w:t>
      </w:r>
      <w:r w:rsidR="00EF44A9">
        <w:rPr>
          <w:rFonts w:eastAsia="Times New Roman"/>
        </w:rPr>
        <w:t>FOR</w:t>
      </w:r>
      <w:r w:rsidRPr="00F40DB8">
        <w:rPr>
          <w:rFonts w:eastAsia="Times New Roman"/>
        </w:rPr>
        <w:t xml:space="preserve"> FIGURES</w:t>
      </w:r>
      <w:r>
        <w:rPr>
          <w:rFonts w:eastAsia="Times New Roman"/>
        </w:rPr>
        <w:t>; TO AMEND SECTION 58-5-450</w:t>
      </w:r>
      <w:r w:rsidR="003331A0">
        <w:rPr>
          <w:rFonts w:eastAsia="Times New Roman"/>
        </w:rPr>
        <w:t xml:space="preserve"> OF THE 1976 CODE</w:t>
      </w:r>
      <w:r>
        <w:rPr>
          <w:rFonts w:eastAsia="Times New Roman"/>
        </w:rPr>
        <w:t xml:space="preserve">, RELATING TO THE REVIEW OF REPORTS AND PROPOSED TARIFF RATE ADJUSTMENTS, TO PROVIDE THAT THE </w:t>
      </w:r>
      <w:r w:rsidRPr="00F40DB8">
        <w:rPr>
          <w:rFonts w:eastAsia="Times New Roman"/>
        </w:rPr>
        <w:t>OFFICE OF</w:t>
      </w:r>
      <w:r>
        <w:rPr>
          <w:rFonts w:eastAsia="Times New Roman"/>
        </w:rPr>
        <w:t xml:space="preserve"> REGULATORY STAFF SHALL PROPOSE CHANGES TO RATE DESIGN; TO AMEND SECTION 58-5-470</w:t>
      </w:r>
      <w:r w:rsidR="003331A0">
        <w:rPr>
          <w:rFonts w:eastAsia="Times New Roman"/>
        </w:rPr>
        <w:t xml:space="preserve"> OF THE 1976 CODE</w:t>
      </w:r>
      <w:r>
        <w:rPr>
          <w:rFonts w:eastAsia="Times New Roman"/>
        </w:rPr>
        <w:t>, RELAT</w:t>
      </w:r>
      <w:r w:rsidR="003331A0">
        <w:rPr>
          <w:rFonts w:eastAsia="Times New Roman"/>
        </w:rPr>
        <w:t>ING</w:t>
      </w:r>
      <w:r>
        <w:rPr>
          <w:rFonts w:eastAsia="Times New Roman"/>
        </w:rPr>
        <w:t xml:space="preserve"> TO THE REVIEW OF INITIAL ORDERS, SCOPE, AND RULE TO SHOW CAUSE FOR WHY A FULL RATE PROCEEDING SHOULD NOT BE INITIATED, TO PROVIDE THAT</w:t>
      </w:r>
      <w:r w:rsidRPr="00F40DB8">
        <w:rPr>
          <w:rFonts w:eastAsia="Times New Roman"/>
        </w:rPr>
        <w:t xml:space="preserve"> THE RIGHT OF REGULATORY STAFF TO FILE </w:t>
      </w:r>
      <w:r w:rsidR="00EF44A9">
        <w:rPr>
          <w:rFonts w:eastAsia="Times New Roman"/>
        </w:rPr>
        <w:t>CERTAIN</w:t>
      </w:r>
      <w:r w:rsidRPr="00F40DB8">
        <w:rPr>
          <w:rFonts w:eastAsia="Times New Roman"/>
        </w:rPr>
        <w:t xml:space="preserve"> ACTION</w:t>
      </w:r>
      <w:r w:rsidR="00EF44A9">
        <w:rPr>
          <w:rFonts w:eastAsia="Times New Roman"/>
        </w:rPr>
        <w:t>S</w:t>
      </w:r>
      <w:r>
        <w:rPr>
          <w:rFonts w:eastAsia="Times New Roman"/>
        </w:rPr>
        <w:t xml:space="preserve"> IS NOT LIMITED; AND TO AMEND ARTICLE 4, CHAPTER 5</w:t>
      </w:r>
      <w:r w:rsidR="003331A0">
        <w:rPr>
          <w:rFonts w:eastAsia="Times New Roman"/>
        </w:rPr>
        <w:t>,</w:t>
      </w:r>
      <w:r>
        <w:rPr>
          <w:rFonts w:eastAsia="Times New Roman"/>
        </w:rPr>
        <w:t xml:space="preserve"> TITLE 58 </w:t>
      </w:r>
      <w:r w:rsidR="003331A0">
        <w:rPr>
          <w:rFonts w:eastAsia="Times New Roman"/>
        </w:rPr>
        <w:t xml:space="preserve">OF THE 1976 CODE, RELATING TO THE NATURAL GAS RATE STABILIZATION ACT, </w:t>
      </w:r>
      <w:r>
        <w:rPr>
          <w:rFonts w:eastAsia="Times New Roman"/>
        </w:rPr>
        <w:t>BY ADDING SECTION 58-5-416, TO PROVIDE A LIMITATION ON THE DURATION OF ELECTION</w:t>
      </w:r>
      <w:r w:rsidRPr="00F40DB8">
        <w:rPr>
          <w:rFonts w:eastAsia="Times New Roman"/>
        </w:rPr>
        <w:t>.</w:t>
      </w:r>
      <w:bookmarkStart w:id="4" w:name="titleend"/>
      <w:bookmarkEnd w:id="4"/>
    </w:p>
    <w:p w:rsidR="00A679A7" w:rsidRDefault="00A679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79A7" w:rsidRPr="00E17F18" w:rsidRDefault="00A679A7" w:rsidP="00A679A7">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Pr>
          <w:rStyle w:val="s21"/>
          <w:rFonts w:ascii="Times New Roman" w:hAnsi="Times New Roman" w:cs="Times New Roman"/>
          <w:color w:val="000000" w:themeColor="text1"/>
          <w:u w:color="000000" w:themeColor="text1"/>
        </w:rPr>
        <w:t xml:space="preserve">Whereas, the Natural Gas </w:t>
      </w:r>
      <w:r w:rsidRPr="00E17F18">
        <w:rPr>
          <w:rStyle w:val="s21"/>
          <w:rFonts w:ascii="Times New Roman" w:hAnsi="Times New Roman" w:cs="Times New Roman"/>
          <w:color w:val="000000" w:themeColor="text1"/>
          <w:u w:color="000000" w:themeColor="text1"/>
        </w:rPr>
        <w:t>Rate Stabilization Act</w:t>
      </w:r>
      <w:r>
        <w:rPr>
          <w:rStyle w:val="s21"/>
          <w:rFonts w:ascii="Times New Roman" w:hAnsi="Times New Roman" w:cs="Times New Roman"/>
          <w:color w:val="000000" w:themeColor="text1"/>
          <w:u w:color="000000" w:themeColor="text1"/>
        </w:rPr>
        <w:t xml:space="preserve"> (RSA) was ratified in 2005 for the purpose of </w:t>
      </w:r>
      <w:r w:rsidRPr="00E17F18">
        <w:rPr>
          <w:rStyle w:val="s21"/>
          <w:rFonts w:ascii="Times New Roman" w:hAnsi="Times New Roman" w:cs="Times New Roman"/>
          <w:color w:val="000000" w:themeColor="text1"/>
          <w:u w:color="000000" w:themeColor="text1"/>
        </w:rPr>
        <w:t xml:space="preserve">increasing the stability and predictability </w:t>
      </w:r>
      <w:r w:rsidRPr="00E17F18">
        <w:rPr>
          <w:rStyle w:val="s21"/>
          <w:rFonts w:ascii="Times New Roman" w:hAnsi="Times New Roman" w:cs="Times New Roman"/>
          <w:color w:val="000000" w:themeColor="text1"/>
          <w:u w:color="000000" w:themeColor="text1"/>
        </w:rPr>
        <w:lastRenderedPageBreak/>
        <w:t>of natural gas ra</w:t>
      </w:r>
      <w:r w:rsidR="00EF44A9">
        <w:rPr>
          <w:rStyle w:val="s21"/>
          <w:rFonts w:ascii="Times New Roman" w:hAnsi="Times New Roman" w:cs="Times New Roman"/>
          <w:color w:val="000000" w:themeColor="text1"/>
          <w:u w:color="000000" w:themeColor="text1"/>
        </w:rPr>
        <w:t>tes charged to retail customers;</w:t>
      </w:r>
      <w:r w:rsidRPr="00E17F18">
        <w:rPr>
          <w:rStyle w:val="s21"/>
          <w:rFonts w:ascii="Times New Roman" w:hAnsi="Times New Roman" w:cs="Times New Roman"/>
          <w:color w:val="000000" w:themeColor="text1"/>
          <w:u w:color="000000" w:themeColor="text1"/>
        </w:rPr>
        <w:t xml:space="preserve"> providing an efficient rate</w:t>
      </w:r>
      <w:r w:rsidR="00EF44A9">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setting mechanism for sma</w:t>
      </w:r>
      <w:r w:rsidR="00EF44A9">
        <w:rPr>
          <w:rStyle w:val="s21"/>
          <w:rFonts w:ascii="Times New Roman" w:hAnsi="Times New Roman" w:cs="Times New Roman"/>
          <w:color w:val="000000" w:themeColor="text1"/>
          <w:u w:color="000000" w:themeColor="text1"/>
        </w:rPr>
        <w:t>ller, periodic rate adjustments;</w:t>
      </w:r>
      <w:r w:rsidRPr="00E17F18">
        <w:rPr>
          <w:rStyle w:val="s21"/>
          <w:rFonts w:ascii="Times New Roman" w:hAnsi="Times New Roman" w:cs="Times New Roman"/>
          <w:color w:val="000000" w:themeColor="text1"/>
          <w:u w:color="000000" w:themeColor="text1"/>
        </w:rPr>
        <w:t xml:space="preserve"> and encouraging investment in new, updated</w:t>
      </w:r>
      <w:r w:rsidR="00EF44A9">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 and expanded natural gas infrastructure, reducing the costs of proceedings f</w:t>
      </w:r>
      <w:r>
        <w:rPr>
          <w:rStyle w:val="s21"/>
          <w:rFonts w:ascii="Times New Roman" w:hAnsi="Times New Roman" w:cs="Times New Roman"/>
          <w:color w:val="000000" w:themeColor="text1"/>
          <w:u w:color="000000" w:themeColor="text1"/>
        </w:rPr>
        <w:t>or the consumers and the public;</w:t>
      </w:r>
      <w:r w:rsidRPr="00E17F18">
        <w:rPr>
          <w:rStyle w:val="s21"/>
          <w:rFonts w:ascii="Times New Roman" w:hAnsi="Times New Roman" w:cs="Times New Roman"/>
          <w:color w:val="000000" w:themeColor="text1"/>
          <w:u w:color="000000" w:themeColor="text1"/>
        </w:rPr>
        <w:t xml:space="preserve"> and</w:t>
      </w:r>
    </w:p>
    <w:p w:rsidR="00A679A7" w:rsidRPr="00E17F18" w:rsidRDefault="00A679A7" w:rsidP="00A679A7">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A679A7" w:rsidRPr="00E17F18" w:rsidRDefault="00A679A7" w:rsidP="00A679A7">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E17F18">
        <w:rPr>
          <w:rStyle w:val="s21"/>
          <w:rFonts w:ascii="Times New Roman" w:hAnsi="Times New Roman" w:cs="Times New Roman"/>
          <w:color w:val="000000" w:themeColor="text1"/>
          <w:u w:color="000000" w:themeColor="text1"/>
        </w:rPr>
        <w:t>Whereas, once elected by an investor</w:t>
      </w:r>
      <w:r w:rsidR="00EF44A9">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owned natural gas utility, the RSA provides no opportunity thereafter </w:t>
      </w:r>
      <w:r>
        <w:rPr>
          <w:rStyle w:val="s21"/>
          <w:rFonts w:ascii="Times New Roman" w:hAnsi="Times New Roman" w:cs="Times New Roman"/>
          <w:color w:val="000000" w:themeColor="text1"/>
          <w:u w:color="000000" w:themeColor="text1"/>
        </w:rPr>
        <w:t xml:space="preserve">for the Public Service Commission to review and make appropriate changes </w:t>
      </w:r>
      <w:r w:rsidRPr="00E17F18">
        <w:rPr>
          <w:rStyle w:val="s21"/>
          <w:rFonts w:ascii="Times New Roman" w:hAnsi="Times New Roman" w:cs="Times New Roman"/>
          <w:color w:val="000000" w:themeColor="text1"/>
          <w:u w:color="000000" w:themeColor="text1"/>
        </w:rPr>
        <w:t>to the return on equity, the cost of service, revenue allo</w:t>
      </w:r>
      <w:r>
        <w:rPr>
          <w:rStyle w:val="s21"/>
          <w:rFonts w:ascii="Times New Roman" w:hAnsi="Times New Roman" w:cs="Times New Roman"/>
          <w:color w:val="000000" w:themeColor="text1"/>
          <w:u w:color="000000" w:themeColor="text1"/>
        </w:rPr>
        <w:t>cation, capital structure, and rate design; and</w:t>
      </w:r>
    </w:p>
    <w:p w:rsidR="00A679A7" w:rsidRPr="00E17F18" w:rsidRDefault="00A679A7" w:rsidP="00A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79A7" w:rsidRPr="00E17F18" w:rsidRDefault="00A679A7" w:rsidP="00A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7F18">
        <w:rPr>
          <w:rStyle w:val="s21"/>
          <w:color w:val="000000" w:themeColor="text1"/>
          <w:u w:color="000000" w:themeColor="text1"/>
        </w:rPr>
        <w:t xml:space="preserve">Whereas, it is reasonable that the </w:t>
      </w:r>
      <w:r w:rsidR="00EF44A9">
        <w:rPr>
          <w:rStyle w:val="s21"/>
          <w:color w:val="000000" w:themeColor="text1"/>
          <w:u w:color="000000" w:themeColor="text1"/>
        </w:rPr>
        <w:t>Public Service C</w:t>
      </w:r>
      <w:r>
        <w:rPr>
          <w:rStyle w:val="s21"/>
          <w:color w:val="000000" w:themeColor="text1"/>
          <w:u w:color="000000" w:themeColor="text1"/>
        </w:rPr>
        <w:t>ommission should be permitted to review</w:t>
      </w:r>
      <w:r w:rsidRPr="00E17F18">
        <w:rPr>
          <w:rStyle w:val="s21"/>
          <w:color w:val="000000" w:themeColor="text1"/>
          <w:u w:color="000000" w:themeColor="text1"/>
        </w:rPr>
        <w:t>, make changes to the return on equity, the cost of service, revenue all</w:t>
      </w:r>
      <w:r>
        <w:rPr>
          <w:rStyle w:val="s21"/>
          <w:color w:val="000000" w:themeColor="text1"/>
          <w:u w:color="000000" w:themeColor="text1"/>
        </w:rPr>
        <w:t xml:space="preserve">ocation, capital structure, and </w:t>
      </w:r>
      <w:r w:rsidRPr="00E17F18">
        <w:rPr>
          <w:rStyle w:val="s21"/>
          <w:color w:val="000000" w:themeColor="text1"/>
          <w:u w:color="000000" w:themeColor="text1"/>
        </w:rPr>
        <w:t>rate design</w:t>
      </w:r>
      <w:r>
        <w:rPr>
          <w:rStyle w:val="s21"/>
          <w:color w:val="000000" w:themeColor="text1"/>
          <w:u w:color="000000" w:themeColor="text1"/>
        </w:rPr>
        <w:t xml:space="preserve"> every five years</w:t>
      </w:r>
      <w:r w:rsidRPr="00E17F18">
        <w:rPr>
          <w:rStyle w:val="s21"/>
          <w:color w:val="000000" w:themeColor="text1"/>
          <w:u w:color="000000" w:themeColor="text1"/>
        </w:rPr>
        <w:t>.</w:t>
      </w:r>
      <w:r w:rsidR="00EB17D1">
        <w:rPr>
          <w:rStyle w:val="s21"/>
          <w:color w:val="000000" w:themeColor="text1"/>
          <w:u w:color="000000" w:themeColor="text1"/>
        </w:rPr>
        <w:t xml:space="preserve"> Now, therefore,</w:t>
      </w:r>
    </w:p>
    <w:p w:rsidR="00A679A7" w:rsidRDefault="00A679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D6A"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4D6A"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D6A"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6711">
        <w:rPr>
          <w:rFonts w:eastAsia="Times New Roman"/>
        </w:rPr>
        <w:t>Section 58-5-410 of the 1976 Code is amended to read:</w:t>
      </w:r>
    </w:p>
    <w:p w:rsidR="00726282" w:rsidRDefault="00726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w:t>
      </w:r>
      <w:r w:rsidR="00F41BEE">
        <w:rPr>
          <w:rFonts w:eastAsia="Times New Roman"/>
        </w:rPr>
        <w:t>0</w:t>
      </w:r>
      <w:r>
        <w:rPr>
          <w:rFonts w:eastAsia="Times New Roman"/>
        </w:rPr>
        <w:t>.</w:t>
      </w:r>
      <w:r>
        <w:rPr>
          <w:rFonts w:eastAsia="Times New Roman"/>
        </w:rPr>
        <w:tab/>
      </w:r>
      <w:r w:rsidRPr="009C4495">
        <w:t>A public utility providing natural gas distribution service, in its discretion and at anytime, may elect to have the terms of this article apply to its rates and charges for gas distribution service, on a prospective basis, by filing a notice of the election with the commission and on the same day and by the same means serving a copy on the Office of Regulatory Staff. Upon receipt of notice of the election, the commission shall proceed to make the findings and establish the ongoing procedures required for adjustments in base rates to be made under this article. In carrying out the procedures established by this article with respect to such an election, the commission shall rely upon and utilize the approved rates, charges, revenues, expenses, capital structure, returns, and other matters established in the public utility’s most recent general rate proceeding pursuant to Section 58</w:t>
      </w:r>
      <w:r w:rsidR="00FD696D">
        <w:noBreakHyphen/>
      </w:r>
      <w:r w:rsidRPr="009C4495">
        <w:t>5</w:t>
      </w:r>
      <w:r w:rsidR="00FD696D">
        <w:noBreakHyphen/>
      </w:r>
      <w:r w:rsidRPr="009C4495">
        <w:t>240; provided, however, that the most recent order must have been issued no more than five years prior to the initial election to come under the terms of this article. A public utility may combine an election under this article with the filing of a rate proceeding pursuant to Section 58</w:t>
      </w:r>
      <w:r w:rsidR="00FD696D">
        <w:noBreakHyphen/>
      </w:r>
      <w:r w:rsidRPr="009C4495">
        <w:t>5</w:t>
      </w:r>
      <w:r w:rsidR="00FD696D">
        <w:noBreakHyphen/>
      </w:r>
      <w:r w:rsidRPr="009C4495">
        <w:t>240 and the commission shall include the findings required by this article in its rate orders issued in the Section 58</w:t>
      </w:r>
      <w:r w:rsidR="00FD696D">
        <w:noBreakHyphen/>
      </w:r>
      <w:r w:rsidRPr="009C4495">
        <w:t>5</w:t>
      </w:r>
      <w:r w:rsidR="00FD696D">
        <w:noBreakHyphen/>
      </w:r>
      <w:r w:rsidRPr="009C4495">
        <w:t>240 proceedings</w:t>
      </w:r>
      <w:r w:rsidRPr="00F41BEE">
        <w:rPr>
          <w:strike/>
        </w:rPr>
        <w:t>, and the election shall remain in effect until the next general rate proceeding</w:t>
      </w:r>
      <w:r w:rsidRPr="009C4495">
        <w:t>.</w:t>
      </w:r>
      <w:r>
        <w:t>”</w:t>
      </w:r>
    </w:p>
    <w:p w:rsidR="00726282" w:rsidRPr="00726282"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44D6A"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58-5-415 of the 1976 Code is amended to read:</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282"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58-5-415.</w:t>
      </w:r>
      <w:r>
        <w:rPr>
          <w:rFonts w:eastAsia="Times New Roman"/>
        </w:rPr>
        <w:tab/>
      </w:r>
      <w:r w:rsidRPr="009C4495">
        <w:t xml:space="preserve">The election by a utility to have the terms of this article apply to its rates and charges for gas distribution service once made shall remain in effect </w:t>
      </w:r>
      <w:r w:rsidR="00F41BEE">
        <w:rPr>
          <w:u w:val="single"/>
        </w:rPr>
        <w:t>for five years.</w:t>
      </w:r>
      <w:r w:rsidR="00F41BEE">
        <w:t xml:space="preserve"> </w:t>
      </w:r>
      <w:r w:rsidRPr="00F41BEE">
        <w:rPr>
          <w:strike/>
        </w:rPr>
        <w:t>until the next Section 58</w:t>
      </w:r>
      <w:r w:rsidR="00FD696D">
        <w:rPr>
          <w:strike/>
        </w:rPr>
        <w:noBreakHyphen/>
      </w:r>
      <w:r w:rsidRPr="00F41BEE">
        <w:rPr>
          <w:strike/>
        </w:rPr>
        <w:t>5</w:t>
      </w:r>
      <w:r w:rsidR="00FD696D">
        <w:rPr>
          <w:strike/>
        </w:rPr>
        <w:noBreakHyphen/>
      </w:r>
      <w:r w:rsidRPr="00F41BEE">
        <w:rPr>
          <w:strike/>
        </w:rPr>
        <w:t>240 general rate proceeding for the public utility at which time the public utility may then elect to continue the applicability of this article to its rates and charges or</w:t>
      </w:r>
      <w:r w:rsidRPr="009C4495">
        <w:t xml:space="preserve"> </w:t>
      </w:r>
      <w:r w:rsidR="00F41BEE">
        <w:rPr>
          <w:u w:val="single"/>
        </w:rPr>
        <w:t>The utility may</w:t>
      </w:r>
      <w:r w:rsidR="00F41BEE">
        <w:t xml:space="preserve"> </w:t>
      </w:r>
      <w:r w:rsidRPr="009C4495">
        <w:t>elect to opt out of the provisions of this article. The applicant may withdraw its request to come under the terms of this article at any time before the entry of a final order of the commission on the merits of the proceeding in which the election is made or on a petition for rehearing in the proceeding.</w:t>
      </w:r>
      <w:r>
        <w:t>”</w:t>
      </w:r>
    </w:p>
    <w:p w:rsidR="00256711" w:rsidRDefault="00256711"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58-5-420(2) of the 1976 Code is amended to read:</w:t>
      </w:r>
    </w:p>
    <w:p w:rsid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41BEE" w:rsidRP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(2)</w:t>
      </w:r>
      <w:r>
        <w:tab/>
      </w:r>
      <w:r w:rsidRPr="009C4495">
        <w:t xml:space="preserve">the commission separately shall state the amount of the utility’s net plant in service, construction work in progress, accumulated deferred income taxes, inventory, working capital, and other rate base components. It also shall state the utility’s depreciation expense, operating and maintenance expense, income taxes, taxes other than income taxes, other components of income for return, revenues, capital structure, cost of debt, overall cost of capital, and earned return on common equity. </w:t>
      </w:r>
      <w:r w:rsidRPr="00F41BEE">
        <w:rPr>
          <w:strike/>
        </w:rPr>
        <w:t>The figures stated shall be those which the commission has determined to be the appropriate basis on which rates were set in the applicable orders.</w:t>
      </w:r>
      <w:r>
        <w:t>”</w:t>
      </w:r>
    </w:p>
    <w:p w:rsidR="00F41BEE" w:rsidRDefault="00F41BEE"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BEE">
        <w:rPr>
          <w:rFonts w:eastAsia="Times New Roman"/>
        </w:rPr>
        <w:t>4</w:t>
      </w:r>
      <w:r>
        <w:rPr>
          <w:rFonts w:eastAsia="Times New Roman"/>
        </w:rPr>
        <w:t>.</w:t>
      </w:r>
      <w:r>
        <w:rPr>
          <w:rFonts w:eastAsia="Times New Roman"/>
        </w:rPr>
        <w:tab/>
        <w:t>Section 58-5-450 of the 1976 Code is amended to read:</w:t>
      </w:r>
    </w:p>
    <w:p w:rsidR="00EB17D1" w:rsidRDefault="00EB17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Pr="00726282" w:rsidRDefault="00726282" w:rsidP="00726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58-5-450.</w:t>
      </w:r>
      <w:r>
        <w:rPr>
          <w:rFonts w:eastAsia="Times New Roman"/>
        </w:rPr>
        <w:tab/>
      </w:r>
      <w:r w:rsidRPr="009C4495">
        <w:t>The Office of Regulatory Staff shall review the monitoring report filed pursuant to Sections 58</w:t>
      </w:r>
      <w:r w:rsidR="00FD696D">
        <w:noBreakHyphen/>
      </w:r>
      <w:r w:rsidRPr="009C4495">
        <w:t>5</w:t>
      </w:r>
      <w:r w:rsidR="00FD696D">
        <w:noBreakHyphen/>
      </w:r>
      <w:r w:rsidRPr="009C4495">
        <w:t>430 and 58</w:t>
      </w:r>
      <w:r w:rsidR="00FD696D">
        <w:noBreakHyphen/>
      </w:r>
      <w:r w:rsidRPr="009C4495">
        <w:t>5</w:t>
      </w:r>
      <w:r w:rsidR="00FD696D">
        <w:noBreakHyphen/>
      </w:r>
      <w:r w:rsidRPr="009C4495">
        <w:t>440 to determine compliance with its terms taking into account the findings of any audit conducted by the Office of Regulatory Staff concerning compliance with Sections 58</w:t>
      </w:r>
      <w:r w:rsidR="00FD696D">
        <w:noBreakHyphen/>
      </w:r>
      <w:r w:rsidRPr="009C4495">
        <w:t>5</w:t>
      </w:r>
      <w:r w:rsidR="00FD696D">
        <w:noBreakHyphen/>
      </w:r>
      <w:r w:rsidRPr="009C4495">
        <w:t>430 and 58</w:t>
      </w:r>
      <w:r w:rsidR="00FD696D">
        <w:noBreakHyphen/>
      </w:r>
      <w:r w:rsidRPr="009C4495">
        <w:t>5</w:t>
      </w:r>
      <w:r w:rsidR="00FD696D">
        <w:noBreakHyphen/>
      </w:r>
      <w:r w:rsidRPr="009C4495">
        <w:t>440. The Office of Regulatory Staff shall propose those adjustments</w:t>
      </w:r>
      <w:r w:rsidR="00F41BEE">
        <w:rPr>
          <w:u w:val="single"/>
        </w:rPr>
        <w:t>, including changes to rate design,</w:t>
      </w:r>
      <w:r w:rsidRPr="009C4495">
        <w:t xml:space="preserve"> it determines to be required to bring the report into compliance with Section 58</w:t>
      </w:r>
      <w:r w:rsidR="00FD696D">
        <w:noBreakHyphen/>
      </w:r>
      <w:r w:rsidRPr="009C4495">
        <w:t>5</w:t>
      </w:r>
      <w:r w:rsidR="00FD696D">
        <w:noBreakHyphen/>
      </w:r>
      <w:r w:rsidRPr="009C4495">
        <w:t>440. Based upon that report and the findings of any audit conducted by the Office of Regulatory Staff, the commission shall order the utility to make the adjustments to tariff rates necessary to achieve the revenue levels indicated in Section 58</w:t>
      </w:r>
      <w:r w:rsidR="00FD696D">
        <w:noBreakHyphen/>
      </w:r>
      <w:r w:rsidRPr="009C4495">
        <w:t>5</w:t>
      </w:r>
      <w:r w:rsidR="00FD696D">
        <w:noBreakHyphen/>
      </w:r>
      <w:r w:rsidRPr="009C4495">
        <w:t>440.</w:t>
      </w:r>
      <w:r>
        <w:t>”</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BEE">
        <w:rPr>
          <w:rFonts w:eastAsia="Times New Roman"/>
        </w:rPr>
        <w:t>5</w:t>
      </w:r>
      <w:r>
        <w:rPr>
          <w:rFonts w:eastAsia="Times New Roman"/>
        </w:rPr>
        <w:t>.</w:t>
      </w:r>
      <w:r>
        <w:rPr>
          <w:rFonts w:eastAsia="Times New Roman"/>
        </w:rPr>
        <w:tab/>
        <w:t>Section 58-5-470 of the 1976 Code is amended to read:</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282" w:rsidRDefault="00726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58-5-470.</w:t>
      </w:r>
      <w:r>
        <w:rPr>
          <w:rFonts w:eastAsia="Times New Roman"/>
        </w:rPr>
        <w:tab/>
      </w:r>
      <w:r w:rsidRPr="009C4495">
        <w:t>The review of Initial Orders pursuant to Sections 58</w:t>
      </w:r>
      <w:r w:rsidR="00FD696D">
        <w:noBreakHyphen/>
      </w:r>
      <w:r w:rsidRPr="009C4495">
        <w:t>5</w:t>
      </w:r>
      <w:r w:rsidR="00FD696D">
        <w:noBreakHyphen/>
      </w:r>
      <w:r w:rsidRPr="009C4495">
        <w:t>460 and 58</w:t>
      </w:r>
      <w:r w:rsidR="00FD696D">
        <w:noBreakHyphen/>
      </w:r>
      <w:r w:rsidRPr="009C4495">
        <w:t>5</w:t>
      </w:r>
      <w:r w:rsidR="00FD696D">
        <w:noBreakHyphen/>
      </w:r>
      <w:r w:rsidRPr="009C4495">
        <w:t>465 is limited to issues related to compliance with the terms of this article. Matters determined in orders issued pursuant to Section 58</w:t>
      </w:r>
      <w:r w:rsidR="00FD696D">
        <w:noBreakHyphen/>
      </w:r>
      <w:r w:rsidRPr="009C4495">
        <w:t>5</w:t>
      </w:r>
      <w:r w:rsidR="00FD696D">
        <w:noBreakHyphen/>
      </w:r>
      <w:r w:rsidRPr="009C4495">
        <w:t>420 are not subject to review except in full rate proceedings pursuant to Section 58</w:t>
      </w:r>
      <w:r w:rsidR="00FD696D">
        <w:noBreakHyphen/>
      </w:r>
      <w:r w:rsidRPr="009C4495">
        <w:t>5</w:t>
      </w:r>
      <w:r w:rsidR="00FD696D">
        <w:noBreakHyphen/>
      </w:r>
      <w:r w:rsidRPr="009C4495">
        <w:t>240. Any proceedings pursuant to this article are without prejudice to the right of the commission to issue, or any interested party to request issuance of, a rule to show cause why a full rate proceeding should not be initiated, nor does this article limit the right of a utility to file an application pursuant to Section 58</w:t>
      </w:r>
      <w:r w:rsidR="00FD696D">
        <w:noBreakHyphen/>
      </w:r>
      <w:r w:rsidRPr="009C4495">
        <w:t>5</w:t>
      </w:r>
      <w:r w:rsidR="00FD696D">
        <w:noBreakHyphen/>
      </w:r>
      <w:r w:rsidRPr="009C4495">
        <w:t>240 for an adjustment to its rates and charges, nor does it impose the restrictions on filings contained in Section 58</w:t>
      </w:r>
      <w:r w:rsidR="00FD696D">
        <w:noBreakHyphen/>
      </w:r>
      <w:r w:rsidRPr="009C4495">
        <w:t>5</w:t>
      </w:r>
      <w:r w:rsidR="00FD696D">
        <w:noBreakHyphen/>
      </w:r>
      <w:r w:rsidRPr="009C4495">
        <w:t>240(F).</w:t>
      </w:r>
      <w:r w:rsidR="00F41BEE">
        <w:t xml:space="preserve"> </w:t>
      </w:r>
      <w:r w:rsidR="00F41BEE">
        <w:rPr>
          <w:u w:val="single"/>
        </w:rPr>
        <w:t>Nothing in this article limits the right of regulatory staff to file an action to show cause as to why a full rate proceeding should not be initiated.</w:t>
      </w:r>
      <w:r>
        <w:t>”</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BEE">
        <w:rPr>
          <w:rFonts w:eastAsia="Times New Roman"/>
        </w:rPr>
        <w:t>6</w:t>
      </w:r>
      <w:r w:rsidR="0068762B">
        <w:rPr>
          <w:rFonts w:eastAsia="Times New Roman"/>
        </w:rPr>
        <w:t>.</w:t>
      </w:r>
      <w:r w:rsidR="0068762B">
        <w:rPr>
          <w:rFonts w:eastAsia="Times New Roman"/>
        </w:rPr>
        <w:tab/>
        <w:t>Article 4, Chapter 5,</w:t>
      </w:r>
      <w:r>
        <w:rPr>
          <w:rFonts w:eastAsia="Times New Roman"/>
        </w:rPr>
        <w:t xml:space="preserve"> Title 58</w:t>
      </w:r>
      <w:r w:rsidR="0068762B">
        <w:rPr>
          <w:rFonts w:eastAsia="Times New Roman"/>
        </w:rPr>
        <w:t xml:space="preserve"> of the 1976 Code</w:t>
      </w:r>
      <w:r>
        <w:rPr>
          <w:rFonts w:eastAsia="Times New Roman"/>
        </w:rPr>
        <w:t xml:space="preserve"> is amended by adding:</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282" w:rsidRPr="00726282" w:rsidRDefault="00256711"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rFonts w:eastAsia="Times New Roman"/>
        </w:rPr>
        <w:tab/>
        <w:t>“Section 58-5-416.</w:t>
      </w:r>
      <w:r>
        <w:rPr>
          <w:rFonts w:eastAsia="Times New Roman"/>
        </w:rPr>
        <w:tab/>
        <w:t>(A)</w:t>
      </w:r>
      <w:r>
        <w:rPr>
          <w:rFonts w:eastAsia="Times New Roman"/>
        </w:rPr>
        <w:tab/>
      </w:r>
      <w:r w:rsidR="00EE3DE1">
        <w:rPr>
          <w:rFonts w:eastAsia="Times New Roman"/>
        </w:rPr>
        <w:t>Every five years, a</w:t>
      </w:r>
      <w:r>
        <w:rPr>
          <w:rFonts w:eastAsia="Times New Roman"/>
        </w:rPr>
        <w:t xml:space="preserve"> public utility </w:t>
      </w:r>
      <w:r w:rsidRPr="00911D10">
        <w:rPr>
          <w:rFonts w:eastAsia="Times New Roman"/>
        </w:rPr>
        <w:t xml:space="preserve">that has </w:t>
      </w:r>
      <w:r w:rsidRPr="00EE3DE1">
        <w:rPr>
          <w:rFonts w:eastAsia="Times New Roman"/>
        </w:rPr>
        <w:t xml:space="preserve">operated under the terms of this article for </w:t>
      </w:r>
      <w:r w:rsidR="00EE3DE1">
        <w:rPr>
          <w:rFonts w:eastAsia="Times New Roman"/>
        </w:rPr>
        <w:t>the preceding five years</w:t>
      </w:r>
      <w:r>
        <w:rPr>
          <w:rFonts w:eastAsia="Times New Roman"/>
        </w:rPr>
        <w:t xml:space="preserve"> shall submit to the commission and regulatory staff the same information as required for a general rate proce</w:t>
      </w:r>
      <w:r w:rsidR="00E57026">
        <w:rPr>
          <w:rFonts w:eastAsia="Times New Roman"/>
        </w:rPr>
        <w:t>eding pursuant to S</w:t>
      </w:r>
      <w:r>
        <w:rPr>
          <w:rFonts w:eastAsia="Times New Roman"/>
        </w:rPr>
        <w:t xml:space="preserve">ection 58-5-240, applicable regulations, </w:t>
      </w:r>
      <w:r w:rsidR="00911D10">
        <w:rPr>
          <w:rFonts w:eastAsia="Times New Roman"/>
        </w:rPr>
        <w:t>and</w:t>
      </w:r>
      <w:r>
        <w:rPr>
          <w:rFonts w:eastAsia="Times New Roman"/>
        </w:rPr>
        <w:t xml:space="preserve"> any </w:t>
      </w:r>
      <w:r w:rsidR="00726282" w:rsidRPr="00726282">
        <w:rPr>
          <w:color w:val="000000" w:themeColor="text1"/>
        </w:rPr>
        <w:t>other requirement set forth by the commission in order to continue its election under this article for a</w:t>
      </w:r>
      <w:r w:rsidR="00726282">
        <w:rPr>
          <w:color w:val="000000" w:themeColor="text1"/>
        </w:rPr>
        <w:t xml:space="preserve"> successive term of five years.</w:t>
      </w:r>
    </w:p>
    <w:p w:rsidR="00726282" w:rsidRPr="00726282" w:rsidRDefault="00726282"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(B)</w:t>
      </w:r>
      <w:r>
        <w:rPr>
          <w:color w:val="000000" w:themeColor="text1"/>
        </w:rPr>
        <w:tab/>
      </w:r>
      <w:r w:rsidRPr="00726282">
        <w:rPr>
          <w:color w:val="000000" w:themeColor="text1"/>
        </w:rPr>
        <w:t xml:space="preserve">After </w:t>
      </w:r>
      <w:r w:rsidR="00EF44A9">
        <w:rPr>
          <w:color w:val="000000" w:themeColor="text1"/>
        </w:rPr>
        <w:t>an</w:t>
      </w:r>
      <w:r w:rsidRPr="00726282">
        <w:rPr>
          <w:color w:val="000000" w:themeColor="text1"/>
        </w:rPr>
        <w:t xml:space="preserve"> application has been filed with the commission and a copy</w:t>
      </w:r>
      <w:r w:rsidR="006A5DA5">
        <w:rPr>
          <w:color w:val="000000" w:themeColor="text1"/>
        </w:rPr>
        <w:t xml:space="preserve"> provided to regulatory staff</w:t>
      </w:r>
      <w:r w:rsidRPr="00726282">
        <w:rPr>
          <w:color w:val="000000" w:themeColor="text1"/>
        </w:rPr>
        <w:t>, the commission shall, after notice to the public such as the commission may prescribe, hold a public hearing concerning the lawfulness or reasonableness of the relief requested.</w:t>
      </w:r>
    </w:p>
    <w:p w:rsidR="00726282" w:rsidRPr="00726282" w:rsidRDefault="00726282"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(C)</w:t>
      </w:r>
      <w:r>
        <w:rPr>
          <w:color w:val="000000" w:themeColor="text1"/>
        </w:rPr>
        <w:tab/>
      </w:r>
      <w:r w:rsidR="006A5DA5">
        <w:rPr>
          <w:color w:val="000000" w:themeColor="text1"/>
        </w:rPr>
        <w:t>Upon receipt of the information pursuant to subsection (A), t</w:t>
      </w:r>
      <w:r w:rsidRPr="00726282">
        <w:rPr>
          <w:color w:val="000000" w:themeColor="text1"/>
        </w:rPr>
        <w:t xml:space="preserve">he commission shall issue an order pursuant to the requirements of </w:t>
      </w:r>
      <w:r w:rsidR="006A5DA5">
        <w:rPr>
          <w:color w:val="000000" w:themeColor="text1"/>
        </w:rPr>
        <w:t>S</w:t>
      </w:r>
      <w:r w:rsidRPr="00726282">
        <w:rPr>
          <w:color w:val="000000" w:themeColor="text1"/>
        </w:rPr>
        <w:t>ection 58</w:t>
      </w:r>
      <w:r w:rsidR="00FD696D">
        <w:rPr>
          <w:color w:val="000000" w:themeColor="text1"/>
        </w:rPr>
        <w:noBreakHyphen/>
      </w:r>
      <w:r w:rsidRPr="00726282">
        <w:rPr>
          <w:color w:val="000000" w:themeColor="text1"/>
        </w:rPr>
        <w:t>5</w:t>
      </w:r>
      <w:r w:rsidR="00FD696D">
        <w:rPr>
          <w:color w:val="000000" w:themeColor="text1"/>
        </w:rPr>
        <w:noBreakHyphen/>
      </w:r>
      <w:r>
        <w:rPr>
          <w:color w:val="000000" w:themeColor="text1"/>
        </w:rPr>
        <w:t>420.</w:t>
      </w:r>
    </w:p>
    <w:p w:rsidR="00726282" w:rsidRPr="00726282" w:rsidRDefault="00726282" w:rsidP="0072628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(D)</w:t>
      </w:r>
      <w:r>
        <w:rPr>
          <w:color w:val="000000" w:themeColor="text1"/>
        </w:rPr>
        <w:tab/>
      </w:r>
      <w:r w:rsidRPr="00726282">
        <w:rPr>
          <w:color w:val="000000" w:themeColor="text1"/>
        </w:rPr>
        <w:t xml:space="preserve">The commission shall rule and issue its order approving or disapproving the changes in full or in part within six months after the date the </w:t>
      </w:r>
      <w:r w:rsidR="006A5DA5">
        <w:rPr>
          <w:color w:val="000000" w:themeColor="text1"/>
        </w:rPr>
        <w:t>information pursuant to subsection (A)</w:t>
      </w:r>
      <w:r w:rsidRPr="00726282">
        <w:rPr>
          <w:color w:val="000000" w:themeColor="text1"/>
        </w:rPr>
        <w:t xml:space="preserve"> is filed.</w:t>
      </w:r>
      <w:r>
        <w:rPr>
          <w:color w:val="000000" w:themeColor="text1"/>
        </w:rPr>
        <w:t>”</w:t>
      </w:r>
    </w:p>
    <w:p w:rsidR="00256711" w:rsidRDefault="00256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DE1" w:rsidRDefault="00344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EE3DE1">
        <w:rPr>
          <w:rFonts w:eastAsia="Times New Roman"/>
        </w:rPr>
        <w:t>SECTION</w:t>
      </w:r>
      <w:r w:rsidRPr="00EE3DE1">
        <w:rPr>
          <w:rFonts w:eastAsia="Times New Roman"/>
        </w:rPr>
        <w:tab/>
      </w:r>
      <w:r w:rsidR="00F41BEE" w:rsidRPr="00EE3DE1">
        <w:rPr>
          <w:rFonts w:eastAsia="Times New Roman"/>
        </w:rPr>
        <w:t>7</w:t>
      </w:r>
      <w:r w:rsidRPr="00EE3DE1">
        <w:rPr>
          <w:rFonts w:eastAsia="Times New Roman"/>
        </w:rPr>
        <w:t>.</w:t>
      </w:r>
      <w:r w:rsidRPr="00EE3DE1">
        <w:rPr>
          <w:rFonts w:eastAsia="Times New Roman"/>
        </w:rPr>
        <w:tab/>
      </w:r>
      <w:r w:rsidR="00EE3DE1">
        <w:rPr>
          <w:rFonts w:eastAsia="Times New Roman"/>
        </w:rPr>
        <w:t>Pursuant to Section 58-5-416, as added by this act, w</w:t>
      </w:r>
      <w:r w:rsidR="00EE3DE1" w:rsidRPr="00EE3DE1">
        <w:rPr>
          <w:rFonts w:eastAsia="Times New Roman"/>
        </w:rPr>
        <w:t xml:space="preserve">ithin twelve months of the effective date of this act, a public utility that has operated under the terms of </w:t>
      </w:r>
      <w:r w:rsidR="00EE3DE1">
        <w:rPr>
          <w:rFonts w:eastAsia="Times New Roman"/>
        </w:rPr>
        <w:t>A</w:t>
      </w:r>
      <w:r w:rsidR="00EE3DE1" w:rsidRPr="00EE3DE1">
        <w:rPr>
          <w:rFonts w:eastAsia="Times New Roman"/>
        </w:rPr>
        <w:t xml:space="preserve">rticle </w:t>
      </w:r>
      <w:r w:rsidR="00EE3DE1">
        <w:rPr>
          <w:rFonts w:eastAsia="Times New Roman"/>
        </w:rPr>
        <w:t xml:space="preserve">4, Chapter 5, Title 58 </w:t>
      </w:r>
      <w:r w:rsidR="00EE3DE1" w:rsidRPr="00EE3DE1">
        <w:rPr>
          <w:rFonts w:eastAsia="Times New Roman"/>
        </w:rPr>
        <w:t>for more than five years</w:t>
      </w:r>
      <w:r w:rsidR="00861159">
        <w:rPr>
          <w:rFonts w:eastAsia="Times New Roman"/>
        </w:rPr>
        <w:t xml:space="preserve"> shall submit to the Public Service C</w:t>
      </w:r>
      <w:r w:rsidR="00EE3DE1" w:rsidRPr="00EE3DE1">
        <w:rPr>
          <w:rFonts w:eastAsia="Times New Roman"/>
        </w:rPr>
        <w:t xml:space="preserve">ommission and </w:t>
      </w:r>
      <w:r w:rsidR="006A5DA5">
        <w:rPr>
          <w:rFonts w:eastAsia="Times New Roman"/>
        </w:rPr>
        <w:t>the Office of R</w:t>
      </w:r>
      <w:r w:rsidR="00EE3DE1" w:rsidRPr="006A5DA5">
        <w:rPr>
          <w:rFonts w:eastAsia="Times New Roman"/>
        </w:rPr>
        <w:t xml:space="preserve">egulatory </w:t>
      </w:r>
      <w:r w:rsidR="006A5DA5">
        <w:rPr>
          <w:rFonts w:eastAsia="Times New Roman"/>
        </w:rPr>
        <w:t>S</w:t>
      </w:r>
      <w:r w:rsidR="00EE3DE1" w:rsidRPr="006A5DA5">
        <w:rPr>
          <w:rFonts w:eastAsia="Times New Roman"/>
        </w:rPr>
        <w:t>taff</w:t>
      </w:r>
      <w:r w:rsidR="00EE3DE1">
        <w:rPr>
          <w:rFonts w:eastAsia="Times New Roman"/>
        </w:rPr>
        <w:t xml:space="preserve"> the same information as required for a general rate proceeding pursuant to </w:t>
      </w:r>
      <w:r w:rsidR="00CB5F82">
        <w:rPr>
          <w:rFonts w:eastAsia="Times New Roman"/>
        </w:rPr>
        <w:t>S</w:t>
      </w:r>
      <w:r w:rsidR="00EE3DE1">
        <w:rPr>
          <w:rFonts w:eastAsia="Times New Roman"/>
        </w:rPr>
        <w:t xml:space="preserve">ection 58-5-240, applicable regulations, and any </w:t>
      </w:r>
      <w:r w:rsidR="00EE3DE1" w:rsidRPr="00726282">
        <w:rPr>
          <w:color w:val="000000" w:themeColor="text1"/>
        </w:rPr>
        <w:t xml:space="preserve">other requirement set forth by the </w:t>
      </w:r>
      <w:r w:rsidR="00861159">
        <w:rPr>
          <w:color w:val="000000" w:themeColor="text1"/>
        </w:rPr>
        <w:t>Public Service C</w:t>
      </w:r>
      <w:r w:rsidR="00EE3DE1" w:rsidRPr="00726282">
        <w:rPr>
          <w:color w:val="000000" w:themeColor="text1"/>
        </w:rPr>
        <w:t>ommission in order to continue its election under this article for a</w:t>
      </w:r>
      <w:r w:rsidR="00EE3DE1">
        <w:rPr>
          <w:color w:val="000000" w:themeColor="text1"/>
        </w:rPr>
        <w:t xml:space="preserve"> successive term of five years.</w:t>
      </w:r>
    </w:p>
    <w:p w:rsidR="00EE3DE1" w:rsidRDefault="00EE3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344D6A" w:rsidRPr="00522CE0" w:rsidRDefault="00EE3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SECTION</w:t>
      </w:r>
      <w:r>
        <w:rPr>
          <w:color w:val="000000" w:themeColor="text1"/>
        </w:rPr>
        <w:tab/>
        <w:t>8.</w:t>
      </w:r>
      <w:r>
        <w:rPr>
          <w:color w:val="000000" w:themeColor="text1"/>
        </w:rPr>
        <w:tab/>
      </w:r>
      <w:r w:rsidR="00344D6A">
        <w:rPr>
          <w:rFonts w:eastAsia="Times New Roman"/>
        </w:rPr>
        <w:t>This act takes effect upon approval by the Governor.</w:t>
      </w:r>
    </w:p>
    <w:p w:rsidR="00204B69" w:rsidRDefault="00FD69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CF5" w:rsidRDefault="00070CF5" w:rsidP="00070CF5">
      <w:pPr>
        <w:suppressAutoHyphens/>
        <w:jc w:val="both"/>
        <w:rPr>
          <w:rFonts w:eastAsia="Times New Roman"/>
        </w:rPr>
      </w:pPr>
    </w:p>
    <w:sectPr w:rsidR="00070CF5" w:rsidSect="00070C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A5" w:rsidRDefault="006A5DA5" w:rsidP="00522CE0">
      <w:r>
        <w:separator/>
      </w:r>
    </w:p>
  </w:endnote>
  <w:endnote w:type="continuationSeparator" w:id="0">
    <w:p w:rsidR="006A5DA5" w:rsidRDefault="006A5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B2EE71-17BE-465C-80D9-6CFBDAE7ECE0}"/>
    <w:embedBold r:id="rId2" w:fontKey="{839C710B-2170-4D3A-901E-2A2C77634EF9}"/>
  </w:font>
  <w:font w:name="Calibri">
    <w:panose1 w:val="020F0502020204030204"/>
    <w:charset w:val="00"/>
    <w:family w:val="swiss"/>
    <w:pitch w:val="variable"/>
    <w:sig w:usb0="E0002EFF" w:usb1="C000247B" w:usb2="00000009" w:usb3="00000000" w:csb0="000001FF" w:csb1="00000000"/>
    <w:embedRegular r:id="rId3" w:fontKey="{19B13505-B1DC-464C-A911-A50D24C0F1AD}"/>
    <w:embedBold r:id="rId4" w:fontKey="{ECBB9B30-1D23-4530-885F-535BC6F6BE1E}"/>
  </w:font>
  <w:font w:name="Segoe UI">
    <w:panose1 w:val="020B0502040204020203"/>
    <w:charset w:val="00"/>
    <w:family w:val="swiss"/>
    <w:pitch w:val="variable"/>
    <w:sig w:usb0="E4002EFF" w:usb1="C000E47F" w:usb2="00000009" w:usb3="00000000" w:csb0="000001FF" w:csb1="00000000"/>
    <w:embedRegular r:id="rId5" w:fontKey="{DD177197-D060-4869-B590-BAEDE71C6E89}"/>
  </w:font>
  <w:font w:name="Cambria">
    <w:panose1 w:val="02040503050406030204"/>
    <w:charset w:val="00"/>
    <w:family w:val="roman"/>
    <w:pitch w:val="variable"/>
    <w:sig w:usb0="E00006FF" w:usb1="420024FF" w:usb2="02000000" w:usb3="00000000" w:csb0="0000019F" w:csb1="00000000"/>
    <w:embedRegular r:id="rId6" w:fontKey="{6D6A8CDA-5850-4A07-A04F-C49D74BCAC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CF5" w:rsidRPr="000B6312" w:rsidRDefault="00070CF5" w:rsidP="000B6312">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sidR="00DB16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A5" w:rsidRDefault="006A5DA5" w:rsidP="00522CE0">
      <w:r>
        <w:separator/>
      </w:r>
    </w:p>
  </w:footnote>
  <w:footnote w:type="continuationSeparator" w:id="0">
    <w:p w:rsidR="006A5DA5" w:rsidRDefault="006A5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NATU.SP.TRY"/>
    <w:docVar w:name="CoverAttorneyInitials" w:val="SP"/>
    <w:docVar w:name="CoverAttorneyLastName" w:val="Parrish"/>
    <w:docVar w:name="CoverBillType" w:val="b"/>
    <w:docVar w:name="CoverSenator" w:val="TRY"/>
    <w:docVar w:name="dvBillNumber" w:val="907"/>
    <w:docVar w:name="dvBillNumberPrefix" w:val="S. "/>
    <w:docVar w:name="dvOriginalBody" w:val="Senate"/>
    <w:docVar w:name="fulldraftpath" w:val="L:\S-RES\TRY\029NATU.SP.TRY.DOCX"/>
    <w:docVar w:name="NameofBody" w:val="S"/>
    <w:docVar w:name="vgroup2" w:val="S-RES"/>
  </w:docVars>
  <w:rsids>
    <w:rsidRoot w:val="00344D6A"/>
    <w:rsid w:val="00042AC1"/>
    <w:rsid w:val="00046516"/>
    <w:rsid w:val="00070CF5"/>
    <w:rsid w:val="00072458"/>
    <w:rsid w:val="0007601D"/>
    <w:rsid w:val="000B0720"/>
    <w:rsid w:val="000B5EAF"/>
    <w:rsid w:val="000B6312"/>
    <w:rsid w:val="001315B2"/>
    <w:rsid w:val="00170561"/>
    <w:rsid w:val="00186AC9"/>
    <w:rsid w:val="00187CFE"/>
    <w:rsid w:val="00197DF1"/>
    <w:rsid w:val="001B3DD9"/>
    <w:rsid w:val="001B7E5D"/>
    <w:rsid w:val="001D3BAC"/>
    <w:rsid w:val="00204B69"/>
    <w:rsid w:val="00216025"/>
    <w:rsid w:val="00245C4E"/>
    <w:rsid w:val="00256711"/>
    <w:rsid w:val="002C1321"/>
    <w:rsid w:val="002C2031"/>
    <w:rsid w:val="002C5896"/>
    <w:rsid w:val="002D3BED"/>
    <w:rsid w:val="002E3112"/>
    <w:rsid w:val="00307C2B"/>
    <w:rsid w:val="00315D04"/>
    <w:rsid w:val="003331A0"/>
    <w:rsid w:val="00344D6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5030"/>
    <w:rsid w:val="005F07AC"/>
    <w:rsid w:val="005F1745"/>
    <w:rsid w:val="0068762B"/>
    <w:rsid w:val="006A1802"/>
    <w:rsid w:val="006A5DA5"/>
    <w:rsid w:val="006C0CBB"/>
    <w:rsid w:val="006C74EA"/>
    <w:rsid w:val="00720D40"/>
    <w:rsid w:val="00726282"/>
    <w:rsid w:val="007318D4"/>
    <w:rsid w:val="007378D9"/>
    <w:rsid w:val="00765784"/>
    <w:rsid w:val="007A4390"/>
    <w:rsid w:val="007E5CB7"/>
    <w:rsid w:val="008314D2"/>
    <w:rsid w:val="00861159"/>
    <w:rsid w:val="00870F6F"/>
    <w:rsid w:val="008B2F42"/>
    <w:rsid w:val="008C3697"/>
    <w:rsid w:val="008E185F"/>
    <w:rsid w:val="008F023B"/>
    <w:rsid w:val="00904E16"/>
    <w:rsid w:val="00911D10"/>
    <w:rsid w:val="009162B3"/>
    <w:rsid w:val="00927C62"/>
    <w:rsid w:val="00983951"/>
    <w:rsid w:val="00984124"/>
    <w:rsid w:val="00984640"/>
    <w:rsid w:val="00995C37"/>
    <w:rsid w:val="009C118A"/>
    <w:rsid w:val="00A02011"/>
    <w:rsid w:val="00A4011E"/>
    <w:rsid w:val="00A679A7"/>
    <w:rsid w:val="00A86015"/>
    <w:rsid w:val="00A9594E"/>
    <w:rsid w:val="00AE59C8"/>
    <w:rsid w:val="00B10098"/>
    <w:rsid w:val="00B5790D"/>
    <w:rsid w:val="00B945C5"/>
    <w:rsid w:val="00BA20EA"/>
    <w:rsid w:val="00BB5AFC"/>
    <w:rsid w:val="00BC0A56"/>
    <w:rsid w:val="00C03A28"/>
    <w:rsid w:val="00C23174"/>
    <w:rsid w:val="00C45366"/>
    <w:rsid w:val="00C57023"/>
    <w:rsid w:val="00C74052"/>
    <w:rsid w:val="00CB187A"/>
    <w:rsid w:val="00CB5F82"/>
    <w:rsid w:val="00CC0EC7"/>
    <w:rsid w:val="00CC251A"/>
    <w:rsid w:val="00CF2C98"/>
    <w:rsid w:val="00D1088B"/>
    <w:rsid w:val="00D1286F"/>
    <w:rsid w:val="00D14DE6"/>
    <w:rsid w:val="00D156D2"/>
    <w:rsid w:val="00D35486"/>
    <w:rsid w:val="00D53E29"/>
    <w:rsid w:val="00D86943"/>
    <w:rsid w:val="00DA3C6B"/>
    <w:rsid w:val="00DA47B9"/>
    <w:rsid w:val="00DB1689"/>
    <w:rsid w:val="00DE5635"/>
    <w:rsid w:val="00E058D3"/>
    <w:rsid w:val="00E12CA0"/>
    <w:rsid w:val="00E2236D"/>
    <w:rsid w:val="00E57026"/>
    <w:rsid w:val="00E76AD9"/>
    <w:rsid w:val="00E86EE2"/>
    <w:rsid w:val="00E91E2F"/>
    <w:rsid w:val="00EA3546"/>
    <w:rsid w:val="00EB17D1"/>
    <w:rsid w:val="00EB47AE"/>
    <w:rsid w:val="00EC34E1"/>
    <w:rsid w:val="00EC7D53"/>
    <w:rsid w:val="00EE3DE1"/>
    <w:rsid w:val="00EF44A9"/>
    <w:rsid w:val="00F0234A"/>
    <w:rsid w:val="00F05CF2"/>
    <w:rsid w:val="00F05CFA"/>
    <w:rsid w:val="00F40DB8"/>
    <w:rsid w:val="00F41BEE"/>
    <w:rsid w:val="00F51241"/>
    <w:rsid w:val="00F52959"/>
    <w:rsid w:val="00F55884"/>
    <w:rsid w:val="00FB0167"/>
    <w:rsid w:val="00FB7F01"/>
    <w:rsid w:val="00FC0D36"/>
    <w:rsid w:val="00FC3A2B"/>
    <w:rsid w:val="00FD69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F29292C-787D-41F1-B234-F77E39B7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726282"/>
    <w:pPr>
      <w:ind w:left="720"/>
      <w:contextualSpacing/>
    </w:pPr>
  </w:style>
  <w:style w:type="paragraph" w:customStyle="1" w:styleId="s2">
    <w:name w:val="s2"/>
    <w:basedOn w:val="Normal"/>
    <w:rsid w:val="00A679A7"/>
    <w:pPr>
      <w:spacing w:before="100" w:beforeAutospacing="1" w:after="100" w:afterAutospacing="1"/>
    </w:pPr>
    <w:rPr>
      <w:rFonts w:ascii="Calibri" w:hAnsi="Calibri" w:cs="Calibri"/>
    </w:rPr>
  </w:style>
  <w:style w:type="character" w:customStyle="1" w:styleId="s21">
    <w:name w:val="s21"/>
    <w:basedOn w:val="DefaultParagraphFont"/>
    <w:rsid w:val="00A679A7"/>
  </w:style>
  <w:style w:type="paragraph" w:styleId="BalloonText">
    <w:name w:val="Balloon Text"/>
    <w:basedOn w:val="Normal"/>
    <w:link w:val="BalloonTextChar"/>
    <w:uiPriority w:val="99"/>
    <w:semiHidden/>
    <w:unhideWhenUsed/>
    <w:rsid w:val="00E57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026"/>
    <w:rPr>
      <w:rFonts w:ascii="Segoe UI" w:hAnsi="Segoe UI" w:cs="Segoe UI"/>
      <w:sz w:val="18"/>
      <w:szCs w:val="18"/>
    </w:rPr>
  </w:style>
  <w:style w:type="character" w:styleId="Hyperlink">
    <w:name w:val="Hyperlink"/>
    <w:basedOn w:val="DefaultParagraphFont"/>
    <w:uiPriority w:val="99"/>
    <w:unhideWhenUsed/>
    <w:rsid w:val="00070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7&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07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F6AF6913</Template>
  <TotalTime>0</TotalTime>
  <Pages>3</Pages>
  <Words>1494</Words>
  <Characters>8517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907: Subject not yet available - South Carolina Legislature Online</dc:title>
  <dc:subject/>
  <dc:creator>Sara Parrish</dc:creator>
  <cp:keywords/>
  <dc:description/>
  <cp:lastModifiedBy>S Wilson</cp:lastModifiedBy>
  <cp:revision>2</cp:revision>
  <cp:lastPrinted>2019-03-12T18:04:00Z</cp:lastPrinted>
  <dcterms:created xsi:type="dcterms:W3CDTF">2020-02-25T14:18:00Z</dcterms:created>
  <dcterms:modified xsi:type="dcterms:W3CDTF">2020-02-25T14:18:00Z</dcterms:modified>
</cp:coreProperties>
</file>