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7C40" w:rsidRDefault="004F7C40" w:rsidP="00086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86223" w:rsidRDefault="00086223" w:rsidP="00086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223" w:rsidRDefault="00086223" w:rsidP="00086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223" w:rsidRDefault="00086223" w:rsidP="00086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223" w:rsidRDefault="00086223" w:rsidP="00086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223" w:rsidRDefault="00086223" w:rsidP="00086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223" w:rsidRDefault="00086223" w:rsidP="00086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7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420F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4F0A" w:rsidRPr="000F6C8B" w:rsidRDefault="00184F0A" w:rsidP="00184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Pr>
          <w:color w:val="000000" w:themeColor="text1"/>
          <w:u w:color="000000" w:themeColor="text1"/>
        </w:rPr>
        <w:t xml:space="preserve">TO </w:t>
      </w:r>
      <w:r w:rsidRPr="000F6C8B">
        <w:rPr>
          <w:color w:val="000000" w:themeColor="text1"/>
          <w:u w:color="000000" w:themeColor="text1"/>
        </w:rPr>
        <w:t>AMEND THE CODE OF LAWS OF SOUTH CAROLINA, 1976, BY ADDING ARTICLE 2 TO CHAPTER 31, TITLE 23 ENTITLED “FIREARMS CRIMINAL BACKGROUND CHECKS” SO AS TO REQUIRE THAT A NATIONAL INSTANT CRIMINAL BACKGROUND CHECK MUST BE COMPLETED AND DELIVERY OF A FIREARM TO A PURCHASER OR TRANSFEREE MAY NOT TAKE PLACE UNTIL THE RESULTS OF ALL REQUIRED BACKGROUND CHECKS ARE KNOWN AND THE PURCHASER OR TRANSFEREE IS NOT PROHIBITED FROM DELIVERY OF THE FIREARM.</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420FA" w:rsidRDefault="002420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420FA" w:rsidRDefault="002420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4F0A" w:rsidRPr="000F6C8B" w:rsidRDefault="00184F0A" w:rsidP="00184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6C8B">
        <w:rPr>
          <w:color w:val="000000" w:themeColor="text1"/>
          <w:u w:color="000000" w:themeColor="text1"/>
        </w:rPr>
        <w:t>SECTION</w:t>
      </w:r>
      <w:r w:rsidRPr="000F6C8B">
        <w:rPr>
          <w:color w:val="000000" w:themeColor="text1"/>
          <w:u w:color="000000" w:themeColor="text1"/>
        </w:rPr>
        <w:tab/>
        <w:t>1.</w:t>
      </w:r>
      <w:r w:rsidRPr="000F6C8B">
        <w:rPr>
          <w:color w:val="000000" w:themeColor="text1"/>
          <w:u w:color="000000" w:themeColor="text1"/>
        </w:rPr>
        <w:tab/>
        <w:t>Chapter 31, Title 23 of the 1976 Code is amended by adding:</w:t>
      </w:r>
    </w:p>
    <w:p w:rsidR="00184F0A" w:rsidRPr="000F6C8B" w:rsidRDefault="00184F0A" w:rsidP="00184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4F0A" w:rsidRPr="000F6C8B" w:rsidRDefault="00184F0A" w:rsidP="00184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0F6C8B">
        <w:rPr>
          <w:color w:val="000000" w:themeColor="text1"/>
          <w:u w:color="000000" w:themeColor="text1"/>
        </w:rPr>
        <w:t>Article 2</w:t>
      </w:r>
    </w:p>
    <w:p w:rsidR="00184F0A" w:rsidRPr="000F6C8B" w:rsidRDefault="00184F0A" w:rsidP="00184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84F0A" w:rsidRPr="000F6C8B" w:rsidRDefault="00184F0A" w:rsidP="00184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F6C8B">
        <w:rPr>
          <w:color w:val="000000" w:themeColor="text1"/>
          <w:u w:color="000000" w:themeColor="text1"/>
        </w:rPr>
        <w:t>Firearms Criminal Background Checks</w:t>
      </w:r>
    </w:p>
    <w:p w:rsidR="00184F0A" w:rsidRPr="000F6C8B" w:rsidRDefault="00184F0A" w:rsidP="00184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4F0A" w:rsidRPr="000F6C8B" w:rsidRDefault="00184F0A" w:rsidP="00184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6C8B">
        <w:rPr>
          <w:color w:val="000000" w:themeColor="text1"/>
          <w:u w:color="000000" w:themeColor="text1"/>
        </w:rPr>
        <w:tab/>
        <w:t>Section 23</w:t>
      </w:r>
      <w:r w:rsidRPr="000F6C8B">
        <w:rPr>
          <w:color w:val="000000" w:themeColor="text1"/>
          <w:u w:color="000000" w:themeColor="text1"/>
        </w:rPr>
        <w:noBreakHyphen/>
        <w:t>31</w:t>
      </w:r>
      <w:r w:rsidRPr="000F6C8B">
        <w:rPr>
          <w:color w:val="000000" w:themeColor="text1"/>
          <w:u w:color="000000" w:themeColor="text1"/>
        </w:rPr>
        <w:noBreakHyphen/>
        <w:t>70.</w:t>
      </w:r>
      <w:r w:rsidRPr="000F6C8B">
        <w:rPr>
          <w:color w:val="000000" w:themeColor="text1"/>
          <w:u w:color="000000" w:themeColor="text1"/>
        </w:rPr>
        <w:tab/>
        <w:t>(A)</w:t>
      </w:r>
      <w:r w:rsidRPr="000F6C8B">
        <w:rPr>
          <w:color w:val="000000" w:themeColor="text1"/>
          <w:u w:color="000000" w:themeColor="text1"/>
        </w:rPr>
        <w:tab/>
        <w:t>In addition to any other requirements pursuant to local, state, and federal law, all sales, exchanges, or transfers of firearms by licensed dealers must be conducted in accordance with the provisions of this article and the provisions of 18 U.S.C. Section 922.</w:t>
      </w:r>
    </w:p>
    <w:p w:rsidR="00184F0A" w:rsidRPr="000F6C8B" w:rsidRDefault="00184F0A" w:rsidP="00184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6C8B">
        <w:rPr>
          <w:color w:val="000000" w:themeColor="text1"/>
          <w:u w:color="000000" w:themeColor="text1"/>
        </w:rPr>
        <w:tab/>
        <w:t>(B)</w:t>
      </w:r>
      <w:r w:rsidRPr="000F6C8B">
        <w:rPr>
          <w:color w:val="000000" w:themeColor="text1"/>
          <w:u w:color="000000" w:themeColor="text1"/>
        </w:rPr>
        <w:tab/>
        <w:t xml:space="preserve">Before any sale, exchange, or transfer pursuant to the provisions of this article may take place in this State, a national instant criminal background check pursuant to 18 U.S.C. Section 922 must be completed by a licensed dealer.  Notwithstanding another provision of law, a licensed dealer may not deliver a firearm to a purchaser or transferee until the results of all required </w:t>
      </w:r>
      <w:r w:rsidRPr="000F6C8B">
        <w:rPr>
          <w:color w:val="000000" w:themeColor="text1"/>
          <w:u w:color="000000" w:themeColor="text1"/>
        </w:rPr>
        <w:lastRenderedPageBreak/>
        <w:t>background checks are known and the purchaser or transferee is not prohibited from owning or possessing a firearm pursuant to the provisions of 18 U.S.C. Section 922 or any other local, state, or federal law and the licensed dealer has been notified.”</w:t>
      </w:r>
    </w:p>
    <w:p w:rsidR="00184F0A" w:rsidRPr="000F6C8B" w:rsidRDefault="00184F0A" w:rsidP="00184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4F0A" w:rsidRPr="000F6C8B" w:rsidRDefault="00184F0A" w:rsidP="00184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6C8B">
        <w:rPr>
          <w:color w:val="000000" w:themeColor="text1"/>
          <w:u w:color="000000" w:themeColor="text1"/>
        </w:rPr>
        <w:t>SECTION</w:t>
      </w:r>
      <w:r w:rsidRPr="000F6C8B">
        <w:rPr>
          <w:color w:val="000000" w:themeColor="text1"/>
          <w:u w:color="000000" w:themeColor="text1"/>
        </w:rPr>
        <w:tab/>
        <w:t>2.</w:t>
      </w:r>
      <w:r w:rsidRPr="000F6C8B">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84F0A" w:rsidRPr="000F6C8B" w:rsidRDefault="00184F0A" w:rsidP="00184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20FA" w:rsidRDefault="002420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84F0A">
        <w:t>3</w:t>
      </w:r>
      <w:r>
        <w:t>.</w:t>
      </w:r>
      <w:r>
        <w:tab/>
        <w:t>This act takes effect upon approval by the Governor.</w:t>
      </w:r>
    </w:p>
    <w:p w:rsidR="00614F3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F7C40" w:rsidRDefault="004F7C40" w:rsidP="004F7C40">
      <w:pPr>
        <w:suppressAutoHyphens/>
      </w:pPr>
    </w:p>
    <w:sectPr w:rsidR="004F7C40" w:rsidSect="004F7C4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20FA" w:rsidRDefault="002420FA" w:rsidP="009F0C77">
      <w:r>
        <w:separator/>
      </w:r>
    </w:p>
  </w:endnote>
  <w:endnote w:type="continuationSeparator" w:id="0">
    <w:p w:rsidR="002420FA" w:rsidRDefault="002420F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42E09AC-611A-47C9-8634-95EE62834E81}"/>
    <w:embedBold r:id="rId2" w:fontKey="{3602970C-AD4C-4F50-A30D-BE0234FA7122}"/>
  </w:font>
  <w:font w:name="Calibri">
    <w:panose1 w:val="020F0502020204030204"/>
    <w:charset w:val="00"/>
    <w:family w:val="swiss"/>
    <w:pitch w:val="variable"/>
    <w:sig w:usb0="E00002FF" w:usb1="4000ACFF" w:usb2="00000001" w:usb3="00000000" w:csb0="0000019F" w:csb1="00000000"/>
    <w:embedRegular r:id="rId3" w:fontKey="{93260C2B-07E7-4B8E-9408-B3DBC37E4DC2}"/>
  </w:font>
  <w:font w:name="Segoe UI">
    <w:panose1 w:val="020B0502040204020203"/>
    <w:charset w:val="00"/>
    <w:family w:val="swiss"/>
    <w:pitch w:val="variable"/>
    <w:sig w:usb0="E10022FF" w:usb1="C000E47F" w:usb2="00000029" w:usb3="00000000" w:csb0="000001DF" w:csb1="00000000"/>
    <w:embedRegular r:id="rId4" w:fontKey="{D582DD05-FB79-4C92-A31F-E0DCA6EE7068}"/>
  </w:font>
  <w:font w:name="Cambria">
    <w:panose1 w:val="02040503050406030204"/>
    <w:charset w:val="00"/>
    <w:family w:val="roman"/>
    <w:pitch w:val="variable"/>
    <w:sig w:usb0="E00002FF" w:usb1="400004FF" w:usb2="00000000" w:usb3="00000000" w:csb0="0000019F" w:csb1="00000000"/>
    <w:embedRegular r:id="rId5" w:fontKey="{07931E00-3417-4EFF-B522-46DB1D5EE80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F30" w:rsidRPr="004F7C40" w:rsidRDefault="004F7C40" w:rsidP="004F7C40">
    <w:pPr>
      <w:pStyle w:val="Footer"/>
      <w:tabs>
        <w:tab w:val="clear" w:pos="4680"/>
        <w:tab w:val="clear" w:pos="9360"/>
        <w:tab w:val="center" w:pos="2995"/>
      </w:tabs>
      <w:spacing w:before="120"/>
    </w:pPr>
    <w:r>
      <w:t>[3058]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20FA" w:rsidRDefault="002420FA" w:rsidP="009F0C77">
      <w:r>
        <w:separator/>
      </w:r>
    </w:p>
  </w:footnote>
  <w:footnote w:type="continuationSeparator" w:id="0">
    <w:p w:rsidR="002420FA" w:rsidRDefault="002420F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41AHB19"/>
    <w:docVar w:name="CoverBillType" w:val="b"/>
    <w:docVar w:name="DocPath" w:val="L:\Council\bills\BH\7041AHB19.DOCX"/>
    <w:docVar w:name="dvBillNumber" w:val="3058"/>
    <w:docVar w:name="dvBillNumberPrefix" w:val="H. "/>
    <w:docVar w:name="dvOriginalBody" w:val="House"/>
    <w:docVar w:name="dvSteno" w:val="BH"/>
    <w:docVar w:name="NameofBody" w:val="h"/>
    <w:docVar w:name="vGroup2" w:val="Council"/>
  </w:docVars>
  <w:rsids>
    <w:rsidRoot w:val="002420FA"/>
    <w:rsid w:val="00011869"/>
    <w:rsid w:val="00015CD6"/>
    <w:rsid w:val="00086223"/>
    <w:rsid w:val="000E0100"/>
    <w:rsid w:val="000E1785"/>
    <w:rsid w:val="000F40FA"/>
    <w:rsid w:val="001035F1"/>
    <w:rsid w:val="0010776B"/>
    <w:rsid w:val="00133E66"/>
    <w:rsid w:val="001435A3"/>
    <w:rsid w:val="00146ED3"/>
    <w:rsid w:val="00151044"/>
    <w:rsid w:val="00184F0A"/>
    <w:rsid w:val="001D08F2"/>
    <w:rsid w:val="001D3A58"/>
    <w:rsid w:val="001D525B"/>
    <w:rsid w:val="001D7F4F"/>
    <w:rsid w:val="00205238"/>
    <w:rsid w:val="002321B6"/>
    <w:rsid w:val="002420FA"/>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4F7C40"/>
    <w:rsid w:val="005273C6"/>
    <w:rsid w:val="00530A69"/>
    <w:rsid w:val="00545593"/>
    <w:rsid w:val="00556EBF"/>
    <w:rsid w:val="00574559"/>
    <w:rsid w:val="00577C6C"/>
    <w:rsid w:val="005A62FE"/>
    <w:rsid w:val="005C2FE2"/>
    <w:rsid w:val="005E2BC9"/>
    <w:rsid w:val="00605102"/>
    <w:rsid w:val="00614F30"/>
    <w:rsid w:val="006215AA"/>
    <w:rsid w:val="006913C9"/>
    <w:rsid w:val="0069470D"/>
    <w:rsid w:val="006D58AA"/>
    <w:rsid w:val="00734F00"/>
    <w:rsid w:val="007A70AE"/>
    <w:rsid w:val="007C46D2"/>
    <w:rsid w:val="008362E8"/>
    <w:rsid w:val="0085786E"/>
    <w:rsid w:val="008A1768"/>
    <w:rsid w:val="008A489F"/>
    <w:rsid w:val="008F0F33"/>
    <w:rsid w:val="008F4429"/>
    <w:rsid w:val="0094021A"/>
    <w:rsid w:val="00953229"/>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D793B8-21E0-42F4-99EA-59D2C9E06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745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455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47E2C0-0550-480F-A5EA-F7D264202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2</Pages>
  <Words>406</Words>
  <Characters>2062</Characters>
  <Application>Microsoft Office Word</Application>
  <DocSecurity>0</DocSecurity>
  <Lines>63</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3058 Text of Previous Version (Dec. 18, 2018) - South Carolina Legislature Online</dc:title>
  <dc:creator>Bonnie Huth</dc:creator>
  <cp:lastModifiedBy>S Volk</cp:lastModifiedBy>
  <cp:revision>2</cp:revision>
  <cp:lastPrinted>2018-11-19T15:56:00Z</cp:lastPrinted>
  <dcterms:created xsi:type="dcterms:W3CDTF">2018-12-18T18:41:00Z</dcterms:created>
  <dcterms:modified xsi:type="dcterms:W3CDTF">2018-12-18T18:41:00Z</dcterms:modified>
</cp:coreProperties>
</file>