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FE7F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67884" w:rsidRDefault="00FE7F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067884">
        <w:t>, 2019</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FE7FFA" w:rsidP="00322602">
      <w:pPr>
        <w:tabs>
          <w:tab w:val="right" w:pos="5933"/>
        </w:tabs>
        <w:suppressAutoHyphens/>
      </w:pPr>
      <w:r>
        <w:t>S. Printed 5/7</w:t>
      </w:r>
      <w:r w:rsidR="00067884">
        <w:t>/19--S.</w:t>
      </w:r>
      <w:r w:rsidR="00322602">
        <w:tab/>
        <w:t>[SEC 5/8/19 1:15 PM]</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7FFA" w:rsidRPr="004A00EC" w:rsidRDefault="001350E9"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rPr>
          <w:u w:color="000000" w:themeColor="text1"/>
        </w:rPr>
        <w:tab/>
      </w:r>
      <w:r w:rsidR="00FE7FFA" w:rsidRPr="004A00EC">
        <w:t>Section 6</w:t>
      </w:r>
      <w:r w:rsidR="00FE7FFA" w:rsidRPr="004A00EC">
        <w:noBreakHyphen/>
        <w:t>27</w:t>
      </w:r>
      <w:r w:rsidR="00FE7FFA" w:rsidRPr="004A00EC">
        <w:noBreakHyphen/>
        <w:t>30.</w:t>
      </w:r>
      <w:r w:rsidR="00FE7FFA" w:rsidRPr="004A00EC">
        <w:tab/>
      </w:r>
      <w:r w:rsidR="00FE7FFA" w:rsidRPr="004A00EC">
        <w:rPr>
          <w:u w:val="single" w:color="000000" w:themeColor="text1"/>
        </w:rPr>
        <w:t>(A)</w:t>
      </w:r>
      <w:r w:rsidR="00FE7FFA" w:rsidRPr="004A00EC">
        <w:tab/>
        <w:t xml:space="preserve">In the annual general appropriations act, </w:t>
      </w:r>
      <w:r w:rsidR="00FE7FFA" w:rsidRPr="004A00EC">
        <w:rPr>
          <w:strike/>
        </w:rPr>
        <w:t>an amount equal to not less than four and one</w:t>
      </w:r>
      <w:r w:rsidR="00FE7FFA" w:rsidRPr="004A00EC">
        <w:rPr>
          <w:strike/>
        </w:rPr>
        <w:noBreakHyphen/>
        <w:t>half percent of general fund revenues of the latest completed fiscal year must be appropriated</w:t>
      </w:r>
      <w:r w:rsidR="00FE7FFA" w:rsidRPr="004A00EC">
        <w:t xml:space="preserve"> </w:t>
      </w:r>
      <w:r w:rsidR="00FE7FFA" w:rsidRPr="004A00EC">
        <w:rPr>
          <w:u w:val="single" w:color="000000" w:themeColor="text1"/>
        </w:rPr>
        <w:t>the General Assembly must appropriate funds</w:t>
      </w:r>
      <w:r w:rsidR="00FE7FFA" w:rsidRPr="004A00EC">
        <w:t xml:space="preserve"> to the Local Government Fund.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rPr>
          <w:u w:val="single" w:color="000000" w:themeColor="text1"/>
        </w:rPr>
        <w:t>(B)(1)</w:t>
      </w:r>
      <w:r w:rsidRPr="004A00EC">
        <w:tab/>
      </w:r>
      <w:r w:rsidRPr="004A00EC">
        <w:rPr>
          <w:u w:val="single" w:color="000000" w:themeColor="text1"/>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4A00EC">
        <w:rPr>
          <w:u w:val="single" w:color="000000" w:themeColor="text1"/>
        </w:rPr>
        <w:noBreakHyphen/>
        <w:t>9</w:t>
      </w:r>
      <w:r w:rsidRPr="004A00EC">
        <w:rPr>
          <w:u w:val="single" w:color="000000" w:themeColor="text1"/>
        </w:rPr>
        <w:noBreakHyphen/>
        <w:t xml:space="preserve">1130, the percentage adjustment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shall have any effect on that determination. </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lastRenderedPageBreak/>
        <w:tab/>
      </w:r>
      <w:r w:rsidRPr="004A00EC">
        <w:tab/>
      </w:r>
      <w:r w:rsidRPr="004A00EC">
        <w:rPr>
          <w:u w:val="single" w:color="000000" w:themeColor="text1"/>
        </w:rPr>
        <w:t>(2)</w:t>
      </w:r>
      <w:r w:rsidRPr="004A00EC">
        <w:tab/>
      </w:r>
      <w:r w:rsidRPr="004A00EC">
        <w:rPr>
          <w:u w:val="single" w:color="000000" w:themeColor="text1"/>
        </w:rPr>
        <w:t>The Governor shall include the appropriation required by this chapter to the Local Government Fund in the Executive Budget.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r>
      <w:r w:rsidRPr="004A00EC">
        <w:rPr>
          <w:u w:val="single" w:color="000000" w:themeColor="text1"/>
        </w:rPr>
        <w:t>(3)</w:t>
      </w:r>
      <w:r w:rsidRPr="004A00EC">
        <w:tab/>
      </w:r>
      <w:r w:rsidRPr="004A00EC">
        <w:rPr>
          <w:u w:val="single" w:color="000000" w:themeColor="text1"/>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rPr>
          <w:u w:val="single"/>
        </w:rPr>
        <w:t>(C)</w:t>
      </w:r>
      <w:r w:rsidRPr="004A00EC">
        <w:tab/>
      </w:r>
      <w:r w:rsidRPr="004A00EC">
        <w:rPr>
          <w:u w:val="single"/>
        </w:rPr>
        <w:t>For purposes of this section:</w:t>
      </w:r>
    </w:p>
    <w:p w:rsidR="00FE7FFA" w:rsidRPr="004A00EC" w:rsidRDefault="00FE7FFA" w:rsidP="00FE7FF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A00EC">
        <w:rPr>
          <w:rFonts w:cs="Times New Roman"/>
        </w:rPr>
        <w:tab/>
      </w:r>
      <w:r w:rsidRPr="004A00EC">
        <w:rPr>
          <w:rFonts w:cs="Times New Roman"/>
        </w:rPr>
        <w:tab/>
      </w:r>
      <w:r w:rsidRPr="004A00EC">
        <w:rPr>
          <w:rFonts w:cs="Times New Roman"/>
          <w:u w:val="single"/>
        </w:rPr>
        <w:t>(1)</w:t>
      </w:r>
      <w:r w:rsidRPr="004A00EC">
        <w:rPr>
          <w:rFonts w:cs="Times New Roman"/>
        </w:rPr>
        <w:tab/>
      </w:r>
      <w:r w:rsidRPr="004A00EC">
        <w:rPr>
          <w:rFonts w:cs="Times New Roman"/>
          <w:u w:val="single"/>
        </w:rPr>
        <w:t>‘Recurring general fund revenue’ means the forecast of recurring general fund revenues pursuant to Section 11</w:t>
      </w:r>
      <w:r w:rsidRPr="004A00EC">
        <w:rPr>
          <w:rFonts w:cs="Times New Roman"/>
          <w:u w:val="single"/>
        </w:rPr>
        <w:noBreakHyphen/>
        <w:t>9</w:t>
      </w:r>
      <w:r w:rsidRPr="004A00EC">
        <w:rPr>
          <w:rFonts w:cs="Times New Roman"/>
          <w:u w:val="single"/>
        </w:rPr>
        <w:noBreakHyphen/>
        <w:t>1130 after the amount apportioned to the Trust Fund for Tax Relief, as required in Section 11</w:t>
      </w:r>
      <w:r w:rsidRPr="004A00EC">
        <w:rPr>
          <w:rFonts w:cs="Times New Roman"/>
          <w:u w:val="single"/>
        </w:rPr>
        <w:noBreakHyphen/>
        <w:t>11</w:t>
      </w:r>
      <w:r w:rsidRPr="004A00EC">
        <w:rPr>
          <w:rFonts w:cs="Times New Roman"/>
          <w:u w:val="single"/>
        </w:rPr>
        <w:noBreakHyphen/>
        <w:t>150, is deducted.</w:t>
      </w:r>
    </w:p>
    <w:p w:rsidR="0038388C"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tab/>
      </w:r>
      <w:r w:rsidRPr="004A00EC">
        <w:rPr>
          <w:u w:val="single"/>
        </w:rPr>
        <w:t>(2)</w:t>
      </w:r>
      <w:r w:rsidRPr="004A00EC">
        <w:tab/>
      </w:r>
      <w:r w:rsidRPr="004A00E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4A00EC">
        <w:rPr>
          <w:u w:val="single"/>
        </w:rPr>
        <w:noBreakHyphen/>
        <w:t>9</w:t>
      </w:r>
      <w:r w:rsidRPr="004A00EC">
        <w:rPr>
          <w:u w:val="single"/>
        </w:rPr>
        <w:noBreakHyphen/>
        <w:t>1140(B).</w:t>
      </w:r>
    </w:p>
    <w:p w:rsidR="009F292D" w:rsidRPr="004A00EC"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t>Section 6</w:t>
      </w:r>
      <w:r w:rsidRPr="004A00EC">
        <w:noBreakHyphen/>
        <w:t>27</w:t>
      </w:r>
      <w:r w:rsidRPr="004A00EC">
        <w:noBreakHyphen/>
        <w:t>40.</w:t>
      </w:r>
      <w:r w:rsidRPr="004A00EC">
        <w:tab/>
        <w:t>(A)</w:t>
      </w:r>
      <w:r w:rsidRPr="004A00EC">
        <w:tab/>
        <w:t>Not later than thirty days after the end of the calendar quarter, the State Treasurer shall distribute the monies appropriated to the Local Government Fund as follows: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t>(1)</w:t>
      </w:r>
      <w:r w:rsidRPr="004A00EC">
        <w:tab/>
        <w:t>Eighty</w:t>
      </w:r>
      <w:r w:rsidRPr="004A00EC">
        <w:noBreakHyphen/>
        <w:t>three and two hundred seventy</w:t>
      </w:r>
      <w:r w:rsidRPr="004A00EC">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tab/>
      </w:r>
      <w:r w:rsidRPr="004A00EC">
        <w:tab/>
        <w:t>(2)</w:t>
      </w:r>
      <w:r w:rsidRPr="004A00EC">
        <w:tab/>
        <w:t>Sixteen and seven hundred twenty</w:t>
      </w:r>
      <w:r w:rsidRPr="004A00EC">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(B)</w:t>
      </w:r>
      <w:r w:rsidRPr="004A00EC">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sidRPr="004A00EC">
        <w:rPr>
          <w:color w:val="000000" w:themeColor="text1"/>
          <w:u w:color="000000" w:themeColor="text1"/>
        </w:rPr>
        <w:noBreakHyphen/>
      </w:r>
      <w:r w:rsidRPr="004A00EC">
        <w:rPr>
          <w:color w:val="000000" w:themeColor="text1"/>
          <w:u w:color="000000" w:themeColor="text1"/>
        </w:rPr>
        <w:t>five percent of the revenue derived pursuant to Section 12</w:t>
      </w:r>
      <w:r w:rsidR="0001768D" w:rsidRPr="004A00EC">
        <w:rPr>
          <w:color w:val="000000" w:themeColor="text1"/>
          <w:u w:color="000000" w:themeColor="text1"/>
        </w:rPr>
        <w:noBreakHyphen/>
      </w:r>
      <w:r w:rsidRPr="004A00EC">
        <w:rPr>
          <w:color w:val="000000" w:themeColor="text1"/>
          <w:u w:color="000000" w:themeColor="text1"/>
        </w:rPr>
        <w:t>33</w:t>
      </w:r>
      <w:r w:rsidR="0001768D" w:rsidRPr="004A00EC">
        <w:rPr>
          <w:color w:val="000000" w:themeColor="text1"/>
          <w:u w:color="000000" w:themeColor="text1"/>
        </w:rPr>
        <w:noBreakHyphen/>
      </w:r>
      <w:r w:rsidRPr="004A00EC">
        <w:rPr>
          <w:color w:val="000000" w:themeColor="text1"/>
          <w:u w:color="000000" w:themeColor="text1"/>
        </w:rPr>
        <w:t>245 allocated on a per capita basis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lastRenderedPageBreak/>
        <w:tab/>
      </w:r>
      <w:r w:rsidRPr="004A00EC">
        <w:rPr>
          <w:strike/>
          <w:color w:val="000000" w:themeColor="text1"/>
          <w:u w:color="000000" w:themeColor="text1"/>
        </w:rPr>
        <w:t>Section 6</w:t>
      </w:r>
      <w:r w:rsidR="0001768D" w:rsidRPr="004A00EC">
        <w:rPr>
          <w:strike/>
          <w:color w:val="000000" w:themeColor="text1"/>
          <w:u w:color="000000" w:themeColor="text1"/>
        </w:rPr>
        <w:noBreakHyphen/>
      </w:r>
      <w:r w:rsidRPr="004A00EC">
        <w:rPr>
          <w:strike/>
          <w:color w:val="000000" w:themeColor="text1"/>
          <w:u w:color="000000" w:themeColor="text1"/>
        </w:rPr>
        <w:t>27</w:t>
      </w:r>
      <w:r w:rsidR="0001768D" w:rsidRPr="004A00EC">
        <w:rPr>
          <w:strike/>
          <w:color w:val="000000" w:themeColor="text1"/>
          <w:u w:color="000000" w:themeColor="text1"/>
        </w:rPr>
        <w:noBreakHyphen/>
      </w:r>
      <w:r w:rsidRPr="004A00EC">
        <w:rPr>
          <w:strike/>
          <w:color w:val="000000" w:themeColor="text1"/>
          <w:u w:color="000000" w:themeColor="text1"/>
        </w:rPr>
        <w:t>50.</w:t>
      </w:r>
      <w:r w:rsidRPr="004A00EC">
        <w:rPr>
          <w:color w:val="000000" w:themeColor="text1"/>
          <w:u w:color="000000" w:themeColor="text1"/>
        </w:rPr>
        <w:tab/>
      </w:r>
      <w:r w:rsidRPr="004A00EC">
        <w:rPr>
          <w:strike/>
          <w:color w:val="000000" w:themeColor="text1"/>
          <w:u w:color="000000" w:themeColor="text1"/>
        </w:rPr>
        <w:t>No section of this chapter may be amended or repealed except in separate legislation solely for that purpose.</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55.</w:t>
      </w:r>
      <w:r w:rsidRPr="004A00EC">
        <w:rPr>
          <w:color w:val="000000" w:themeColor="text1"/>
          <w:u w:color="000000" w:themeColor="text1"/>
        </w:rPr>
        <w:tab/>
        <w:t>From funds distributed to the county pursuant to 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A00EC">
        <w:rPr>
          <w:snapToGrid w:val="0"/>
        </w:rPr>
        <w:t>SECTION</w:t>
      </w:r>
      <w:r w:rsidRPr="004A00EC">
        <w:rPr>
          <w:snapToGrid w:val="0"/>
        </w:rPr>
        <w:tab/>
        <w:t>2.</w:t>
      </w:r>
      <w:r w:rsidRPr="004A00EC">
        <w:rPr>
          <w:snapToGrid w:val="0"/>
        </w:rPr>
        <w:tab/>
        <w:t>Section 1-3-210 of the 1976 Code is amended to read: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t>“Section 1-3-210.</w:t>
      </w:r>
      <w:r w:rsidRPr="004A00EC">
        <w:tab/>
      </w:r>
      <w:r w:rsidRPr="004A00EC">
        <w:rPr>
          <w:u w:val="single"/>
        </w:rPr>
        <w:t>(A)(1)</w:t>
      </w:r>
      <w:r w:rsidRPr="004A00EC">
        <w:tab/>
      </w:r>
      <w:r w:rsidRPr="004A00EC">
        <w:rPr>
          <w:strike/>
        </w:rPr>
        <w:t>During the recess of the Senate, vacancy which occurs in an</w:t>
      </w:r>
      <w:r w:rsidRPr="004A00EC">
        <w:t xml:space="preserve"> </w:t>
      </w:r>
      <w:r w:rsidRPr="004A00EC">
        <w:rPr>
          <w:u w:val="single"/>
        </w:rPr>
        <w:t>If an</w:t>
      </w:r>
      <w:r w:rsidRPr="004A00EC">
        <w:t xml:space="preserve"> office filled by an appointment of the Governor with the advice and consent of the Senate </w:t>
      </w:r>
      <w:r w:rsidRPr="004A00EC">
        <w:rPr>
          <w:u w:val="single"/>
        </w:rPr>
        <w:t>becomes vacant during the interim period between regular legislative sessions, then the office</w:t>
      </w:r>
      <w:r w:rsidRPr="004A00EC">
        <w:t xml:space="preserve"> may be filled by an interim appointment of the Governor </w:t>
      </w:r>
      <w:r w:rsidRPr="004A00EC">
        <w:rPr>
          <w:u w:val="single"/>
        </w:rPr>
        <w:t>only if the Governor acts to fill the office during the same interim period during which the office became vacant</w:t>
      </w:r>
      <w:r w:rsidRPr="004A00EC">
        <w:t xml:space="preserve">. The Governor must report the interim appointment to the Senate and must forward a formal appointment at its next ensuing regular session. </w:t>
      </w:r>
      <w:r w:rsidRPr="004A00EC">
        <w:rPr>
          <w:u w:val="single"/>
        </w:rPr>
        <w:t>If the Senate votes to reject an interim appointee’s formal appointment during the next ensuing regular session then the office is immediately vacant and may not be filled by another interim appointment.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0EC">
        <w:tab/>
      </w:r>
      <w:r w:rsidRPr="004A00EC">
        <w:tab/>
      </w:r>
      <w:r w:rsidRPr="004A00EC">
        <w:rPr>
          <w:u w:val="single"/>
        </w:rPr>
        <w:t>(2)</w:t>
      </w:r>
      <w:r w:rsidRPr="004A00EC">
        <w:tab/>
        <w:t xml:space="preserve">If the Senate does not advise and consent </w:t>
      </w:r>
      <w:r w:rsidRPr="004A00EC">
        <w:rPr>
          <w:strike/>
        </w:rPr>
        <w:t>thereto</w:t>
      </w:r>
      <w:r w:rsidRPr="004A00EC">
        <w:t xml:space="preserve"> </w:t>
      </w:r>
      <w:r w:rsidRPr="004A00EC">
        <w:rPr>
          <w:u w:val="single"/>
        </w:rPr>
        <w:t>to the formal appointment</w:t>
      </w:r>
      <w:r w:rsidRPr="004A00EC">
        <w:t xml:space="preserve"> prior to </w:t>
      </w:r>
      <w:r w:rsidRPr="004A00EC">
        <w:rPr>
          <w:strike/>
        </w:rPr>
        <w:t>sine die adjournment</w:t>
      </w:r>
      <w:r w:rsidRPr="004A00EC">
        <w:t xml:space="preserve"> </w:t>
      </w:r>
      <w:r w:rsidRPr="004A00EC">
        <w:rPr>
          <w:u w:val="single"/>
        </w:rPr>
        <w:t>the second Thursday in May following the interim period during which the interim appointment was made</w:t>
      </w:r>
      <w:r w:rsidRPr="004A00EC">
        <w:t xml:space="preserve"> </w:t>
      </w:r>
      <w:r w:rsidRPr="004A00EC">
        <w:rPr>
          <w:strike/>
        </w:rPr>
        <w:t>of the next ensuing regular session</w:t>
      </w:r>
      <w:r w:rsidRPr="004A00EC">
        <w:t xml:space="preserve">, the office shall be vacant and the interim appointment shall not serve in hold over status notwithstanding any other provision of law to the contrary. </w:t>
      </w:r>
      <w:r w:rsidRPr="004A00EC">
        <w:rPr>
          <w:u w:val="single"/>
        </w:rPr>
        <w:t>The Governor may not make a subsequent interim appointment for the same vacancy.</w:t>
      </w:r>
      <w:r w:rsidRPr="004A00EC">
        <w:t xml:space="preserve"> </w:t>
      </w:r>
      <w:r w:rsidRPr="004A00EC">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A00EC">
        <w:tab/>
      </w:r>
      <w:r w:rsidRPr="004A00EC">
        <w:rPr>
          <w:u w:val="single"/>
        </w:rPr>
        <w:t>(B)</w:t>
      </w:r>
      <w:r w:rsidRPr="004A00EC">
        <w:tab/>
      </w:r>
      <w:r w:rsidRPr="004A00EC">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4A00EC">
        <w: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A00EC">
        <w:rPr>
          <w:snapToGrid w:val="0"/>
        </w:rPr>
        <w:lastRenderedPageBreak/>
        <w:t>SECTION</w:t>
      </w:r>
      <w:r w:rsidRPr="004A00EC">
        <w:rPr>
          <w:snapToGrid w:val="0"/>
        </w:rPr>
        <w:tab/>
        <w:t>3.</w:t>
      </w:r>
      <w:r w:rsidRPr="004A00EC">
        <w:rPr>
          <w:snapToGrid w:val="0"/>
        </w:rPr>
        <w:tab/>
        <w:t>Article 5, Chapter 3 of Title 1 of the 1976 Code is amended by adding:</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snapToGrid w:val="0"/>
        </w:rPr>
        <w:tab/>
        <w:t>“Section 1-3-211.</w:t>
      </w:r>
      <w:r w:rsidRPr="004A00EC">
        <w:rPr>
          <w:snapToGrid w:val="0"/>
        </w:rPr>
        <w:tab/>
      </w:r>
      <w:r w:rsidRPr="004A00EC">
        <w:rPr>
          <w:color w:val="000000" w:themeColor="text1"/>
          <w:u w:color="000000" w:themeColor="text1"/>
        </w:rPr>
        <w:t>(A)</w:t>
      </w:r>
      <w:r w:rsidRPr="004A00EC">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(B)(1)</w:t>
      </w:r>
      <w:r w:rsidRPr="004A00EC">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r>
      <w:r w:rsidRPr="004A00EC">
        <w:rPr>
          <w:color w:val="000000" w:themeColor="text1"/>
          <w:u w:color="000000" w:themeColor="text1"/>
        </w:rPr>
        <w:tab/>
        <w:t>(2)</w:t>
      </w:r>
      <w:r w:rsidRPr="004A00EC">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4A00EC">
        <w:t>any authority or duties of that agency</w:t>
      </w:r>
      <w:r w:rsidRPr="004A00EC">
        <w:rPr>
          <w:color w:val="000000" w:themeColor="text1"/>
          <w:u w:color="000000" w:themeColor="text1"/>
        </w:rPr>
        <w:t>.”</w:t>
      </w:r>
    </w:p>
    <w:p w:rsidR="00FE7FFA" w:rsidRPr="004A00EC" w:rsidRDefault="00FE7FFA"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FFA"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A00EC">
        <w:t>SECTION</w:t>
      </w:r>
      <w:r w:rsidRPr="004A00EC">
        <w:tab/>
        <w:t>4.</w:t>
      </w:r>
      <w:r w:rsidRPr="004A00EC">
        <w:tab/>
        <w:t>This act takes effect upon approval by the Governor and first applies to the annual general appropriations bill process for Fiscal Year 2020-2021.</w:t>
      </w:r>
    </w:p>
    <w:p w:rsidR="00323AB6" w:rsidRDefault="0001768D" w:rsidP="0032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23AB6"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94653BB-3055-4E6F-9E69-608CC8CFE5C5}"/>
    <w:embedBold r:id="rId2" w:fontKey="{AAE5DCAC-5EAB-4FC2-89E5-8356ECBF65DB}"/>
  </w:font>
  <w:font w:name="Calibri">
    <w:panose1 w:val="020F0502020204030204"/>
    <w:charset w:val="00"/>
    <w:family w:val="swiss"/>
    <w:pitch w:val="variable"/>
    <w:sig w:usb0="E0002AFF" w:usb1="C000247B" w:usb2="00000009" w:usb3="00000000" w:csb0="000001FF" w:csb1="00000000"/>
    <w:embedRegular r:id="rId3" w:fontKey="{B802F801-62C4-4C00-A2C2-96E905408A08}"/>
  </w:font>
  <w:font w:name="Segoe UI">
    <w:panose1 w:val="020B0502040204020203"/>
    <w:charset w:val="00"/>
    <w:family w:val="swiss"/>
    <w:pitch w:val="variable"/>
    <w:sig w:usb0="E4002EFF" w:usb1="C000E47F" w:usb2="00000009" w:usb3="00000000" w:csb0="000001FF" w:csb1="00000000"/>
    <w:embedRegular r:id="rId4" w:fontKey="{891EF825-2CC1-4C28-BB2C-C4D5BA985CFB}"/>
  </w:font>
  <w:font w:name="Cambria">
    <w:panose1 w:val="02040503050406030204"/>
    <w:charset w:val="00"/>
    <w:family w:val="roman"/>
    <w:pitch w:val="variable"/>
    <w:sig w:usb0="E00006FF" w:usb1="420024FF" w:usb2="02000000" w:usb3="00000000" w:csb0="0000019F" w:csb1="00000000"/>
    <w:embedRegular r:id="rId5" w:fontKey="{B4739DB6-0D1E-4CE2-BE7E-2A0AFBD46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323A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323A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2602"/>
    <w:rsid w:val="00323AB6"/>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A00EC"/>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D216E"/>
    <w:rsid w:val="00BE3C22"/>
    <w:rsid w:val="00C0345E"/>
    <w:rsid w:val="00C31C95"/>
    <w:rsid w:val="00C3483A"/>
    <w:rsid w:val="00C54696"/>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50AE3"/>
    <w:rsid w:val="00F655B7"/>
    <w:rsid w:val="00F656BA"/>
    <w:rsid w:val="00F67CF1"/>
    <w:rsid w:val="00F728AA"/>
    <w:rsid w:val="00F840F0"/>
    <w:rsid w:val="00FB0D0D"/>
    <w:rsid w:val="00FB43B4"/>
    <w:rsid w:val="00FB6B0B"/>
    <w:rsid w:val="00FE7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1E202-EA87-4FA6-8328-44AA2C2E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6</Pages>
  <Words>1655</Words>
  <Characters>8648</Characters>
  <Application>Microsoft Office Word</Application>
  <DocSecurity>0</DocSecurity>
  <Lines>223</Lines>
  <Paragraphs>40</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10316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(May 8, 2019) - South Carolina Legislature Online</dc:title>
  <dc:creator>Niki Downey</dc:creator>
  <cp:lastModifiedBy>Lavarres Lynch</cp:lastModifiedBy>
  <cp:revision>2</cp:revision>
  <cp:lastPrinted>2019-04-09T23:04:00Z</cp:lastPrinted>
  <dcterms:created xsi:type="dcterms:W3CDTF">2019-05-08T17:15:00Z</dcterms:created>
  <dcterms:modified xsi:type="dcterms:W3CDTF">2019-05-08T17:15:00Z</dcterms:modified>
</cp:coreProperties>
</file>