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7734" w:rsidRP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Pr="00E37734" w:rsidRDefault="00E37734" w:rsidP="00E37734">
      <w:pPr>
        <w:tabs>
          <w:tab w:val="right" w:pos="5933"/>
        </w:tabs>
        <w:suppressAutoHyphens/>
      </w:pPr>
      <w:r>
        <w:tab/>
      </w:r>
      <w:r>
        <w:rPr>
          <w:b/>
          <w:sz w:val="36"/>
        </w:rPr>
        <w:t>S. 360</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14CE">
        <w:t>Senator Cromer</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1/24/19--S.</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E37734" w:rsidRP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P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360) </w:t>
      </w:r>
      <w:r w:rsidRPr="00E37734">
        <w:rPr>
          <w:color w:val="000000" w:themeColor="text1"/>
          <w:u w:color="000000" w:themeColor="text1"/>
        </w:rPr>
        <w:t>to amend the Code of Laws of South Carolina, 1976, by adding Section 38</w:t>
      </w:r>
      <w:r w:rsidRPr="00E37734">
        <w:rPr>
          <w:color w:val="000000" w:themeColor="text1"/>
          <w:u w:color="000000" w:themeColor="text1"/>
        </w:rPr>
        <w:noBreakHyphen/>
        <w:t>47</w:t>
      </w:r>
      <w:r w:rsidRPr="00E37734">
        <w:rPr>
          <w:color w:val="000000" w:themeColor="text1"/>
          <w:u w:color="000000" w:themeColor="text1"/>
        </w:rPr>
        <w:noBreakHyphen/>
        <w:t>55 so as to clarify that certain individuals are authorized to adjust food spoilage</w:t>
      </w:r>
      <w:r>
        <w:t>, etc., respectfully</w:t>
      </w:r>
    </w:p>
    <w:p w:rsidR="00E37734" w:rsidRP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snapToGrid w:val="0"/>
        </w:rPr>
        <w:tab/>
        <w:t xml:space="preserve">Amend the bill, as and if amended, </w:t>
      </w:r>
      <w:r w:rsidRPr="00BA0E9A">
        <w:rPr>
          <w:u w:color="000000" w:themeColor="text1"/>
        </w:rPr>
        <w:t xml:space="preserve">by striking SECTION 11 and inserting: </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A0E9A">
        <w:rPr>
          <w:u w:color="000000" w:themeColor="text1"/>
        </w:rPr>
        <w:t>/</w:t>
      </w:r>
      <w:r w:rsidRPr="00BA0E9A">
        <w:rPr>
          <w:u w:color="000000" w:themeColor="text1"/>
        </w:rPr>
        <w:tab/>
        <w:t>SECTION</w:t>
      </w:r>
      <w:r w:rsidRPr="00BA0E9A">
        <w:rPr>
          <w:u w:color="000000" w:themeColor="text1"/>
        </w:rPr>
        <w:tab/>
        <w:t>11.</w:t>
      </w:r>
      <w:r w:rsidRPr="00BA0E9A">
        <w:rPr>
          <w:u w:color="000000" w:themeColor="text1"/>
        </w:rPr>
        <w:tab/>
        <w:t>Section 38</w:t>
      </w:r>
      <w:r w:rsidRPr="00BA0E9A">
        <w:rPr>
          <w:u w:color="000000" w:themeColor="text1"/>
        </w:rPr>
        <w:noBreakHyphen/>
        <w:t>99</w:t>
      </w:r>
      <w:r w:rsidRPr="00BA0E9A">
        <w:rPr>
          <w:u w:color="000000" w:themeColor="text1"/>
        </w:rPr>
        <w:noBreakHyphen/>
        <w:t>70(A) of the 1976 Code, as added by Act 171 of 2018, is amended to read:</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u w:color="000000" w:themeColor="text1"/>
        </w:rPr>
        <w:tab/>
        <w:t>“(A)</w:t>
      </w:r>
      <w:r w:rsidRPr="00BA0E9A">
        <w:rPr>
          <w:u w:color="000000" w:themeColor="text1"/>
        </w:rPr>
        <w:tab/>
        <w:t xml:space="preserve">The following licensees are exempt from the provisions of </w:t>
      </w:r>
      <w:r w:rsidRPr="00BA0E9A">
        <w:rPr>
          <w:strike/>
          <w:u w:color="000000" w:themeColor="text1"/>
        </w:rPr>
        <w:t>this chapter</w:t>
      </w:r>
      <w:r w:rsidRPr="00BA0E9A">
        <w:rPr>
          <w:u w:color="000000" w:themeColor="text1"/>
        </w:rPr>
        <w:t xml:space="preserve"> </w:t>
      </w:r>
      <w:r w:rsidRPr="00BA0E9A">
        <w:rPr>
          <w:u w:val="single" w:color="000000" w:themeColor="text1"/>
        </w:rPr>
        <w:t>Section 38</w:t>
      </w:r>
      <w:r w:rsidRPr="00BA0E9A">
        <w:rPr>
          <w:u w:val="single" w:color="000000" w:themeColor="text1"/>
        </w:rPr>
        <w:noBreakHyphen/>
        <w:t>99</w:t>
      </w:r>
      <w:r w:rsidRPr="00BA0E9A">
        <w:rPr>
          <w:u w:val="single" w:color="000000" w:themeColor="text1"/>
        </w:rPr>
        <w:noBreakHyphen/>
        <w:t>20</w:t>
      </w:r>
      <w:r w:rsidRPr="00BA0E9A">
        <w:rPr>
          <w:u w:color="000000" w:themeColor="text1"/>
        </w:rPr>
        <w:t>:</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u w:color="000000" w:themeColor="text1"/>
        </w:rPr>
        <w:tab/>
      </w:r>
      <w:r w:rsidRPr="00BA0E9A">
        <w:rPr>
          <w:u w:color="000000" w:themeColor="text1"/>
        </w:rPr>
        <w:tab/>
        <w:t>(1)</w:t>
      </w:r>
      <w:r w:rsidRPr="00BA0E9A">
        <w:rPr>
          <w:u w:color="000000" w:themeColor="text1"/>
        </w:rPr>
        <w:tab/>
        <w:t>a licensee with fewer than ten employees, including any independent contractors;</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u w:color="000000" w:themeColor="text1"/>
        </w:rPr>
        <w:tab/>
      </w:r>
      <w:r w:rsidRPr="00BA0E9A">
        <w:rPr>
          <w:u w:color="000000" w:themeColor="text1"/>
        </w:rPr>
        <w:tab/>
        <w:t>(2)</w:t>
      </w:r>
      <w:r w:rsidRPr="00BA0E9A">
        <w:rPr>
          <w:u w:color="000000" w:themeColor="text1"/>
        </w:rPr>
        <w:tab/>
        <w:t xml:space="preserve">an employee, agent, representative or designee of a licensee, who is also a licensee, is exempt from the provisions of </w:t>
      </w:r>
      <w:r w:rsidRPr="00BA0E9A">
        <w:rPr>
          <w:strike/>
          <w:u w:color="000000" w:themeColor="text1"/>
        </w:rPr>
        <w:t>this chapter</w:t>
      </w:r>
      <w:r w:rsidRPr="00BA0E9A">
        <w:rPr>
          <w:u w:color="000000" w:themeColor="text1"/>
        </w:rPr>
        <w:t xml:space="preserve"> </w:t>
      </w:r>
      <w:r w:rsidRPr="00BA0E9A">
        <w:rPr>
          <w:u w:val="single" w:color="000000" w:themeColor="text1"/>
        </w:rPr>
        <w:t>Section 38</w:t>
      </w:r>
      <w:r w:rsidRPr="00BA0E9A">
        <w:rPr>
          <w:u w:val="single" w:color="000000" w:themeColor="text1"/>
        </w:rPr>
        <w:noBreakHyphen/>
        <w:t>99</w:t>
      </w:r>
      <w:r w:rsidRPr="00BA0E9A">
        <w:rPr>
          <w:u w:val="single" w:color="000000" w:themeColor="text1"/>
        </w:rPr>
        <w:noBreakHyphen/>
        <w:t>20</w:t>
      </w:r>
      <w:r w:rsidRPr="00BA0E9A">
        <w:rPr>
          <w:u w:color="000000" w:themeColor="text1"/>
        </w:rPr>
        <w:t xml:space="preserve"> and need not develop its own information security program to the extent that the employee, agent, representative or designee is covered by the information security program of the other licensee; and</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0E9A">
        <w:rPr>
          <w:u w:color="000000" w:themeColor="text1"/>
        </w:rPr>
        <w:tab/>
      </w:r>
      <w:r w:rsidRPr="00BA0E9A">
        <w:rPr>
          <w:u w:color="000000" w:themeColor="text1"/>
        </w:rPr>
        <w:tab/>
        <w:t>(3)</w:t>
      </w:r>
      <w:r w:rsidRPr="00BA0E9A">
        <w:rPr>
          <w:u w:color="000000" w:themeColor="text1"/>
        </w:rPr>
        <w:tab/>
        <w:t>a licensee subject to the Health Insurance Portability and Accountability Act, Pub.L. 104</w:t>
      </w:r>
      <w:r w:rsidRPr="00BA0E9A">
        <w:rPr>
          <w:u w:color="000000" w:themeColor="text1"/>
        </w:rPr>
        <w:noBreakHyphen/>
        <w:t xml:space="preserve">191, 110 Stat. 1936, that has established and maintains an information security program pursuant to such statutes, rules, regulations, procedures or guidelines established thereunder, will be considered to meet the requirements </w:t>
      </w:r>
      <w:r w:rsidRPr="00BA0E9A">
        <w:rPr>
          <w:u w:color="000000" w:themeColor="text1"/>
        </w:rPr>
        <w:lastRenderedPageBreak/>
        <w:t xml:space="preserve">of </w:t>
      </w:r>
      <w:r w:rsidRPr="00BA0E9A">
        <w:rPr>
          <w:strike/>
          <w:u w:color="000000" w:themeColor="text1"/>
        </w:rPr>
        <w:t>this chapter</w:t>
      </w:r>
      <w:r w:rsidRPr="00BA0E9A">
        <w:rPr>
          <w:u w:color="000000" w:themeColor="text1"/>
        </w:rPr>
        <w:t xml:space="preserve"> </w:t>
      </w:r>
      <w:r w:rsidRPr="00BA0E9A">
        <w:rPr>
          <w:u w:val="single" w:color="000000" w:themeColor="text1"/>
        </w:rPr>
        <w:t>Section 38</w:t>
      </w:r>
      <w:r w:rsidRPr="00BA0E9A">
        <w:rPr>
          <w:u w:val="single" w:color="000000" w:themeColor="text1"/>
        </w:rPr>
        <w:noBreakHyphen/>
        <w:t>99</w:t>
      </w:r>
      <w:r w:rsidRPr="00BA0E9A">
        <w:rPr>
          <w:u w:val="single" w:color="000000" w:themeColor="text1"/>
        </w:rPr>
        <w:noBreakHyphen/>
        <w:t>20</w:t>
      </w:r>
      <w:r w:rsidRPr="00BA0E9A">
        <w:rPr>
          <w:u w:color="000000" w:themeColor="text1"/>
        </w:rPr>
        <w:t xml:space="preserve">, provided that the licensee is compliant with, and submits a written statement certifying its compliance with, the provisions of </w:t>
      </w:r>
      <w:r w:rsidRPr="00BA0E9A">
        <w:rPr>
          <w:strike/>
          <w:u w:color="000000" w:themeColor="text1"/>
        </w:rPr>
        <w:t>this chapter</w:t>
      </w:r>
      <w:r w:rsidRPr="00BA0E9A">
        <w:rPr>
          <w:u w:color="000000" w:themeColor="text1"/>
        </w:rPr>
        <w:t xml:space="preserve"> </w:t>
      </w:r>
      <w:r w:rsidRPr="00BA0E9A">
        <w:rPr>
          <w:u w:val="single" w:color="000000" w:themeColor="text1"/>
        </w:rPr>
        <w:t>Section 38</w:t>
      </w:r>
      <w:r w:rsidRPr="00BA0E9A">
        <w:rPr>
          <w:u w:val="single" w:color="000000" w:themeColor="text1"/>
        </w:rPr>
        <w:noBreakHyphen/>
        <w:t>99</w:t>
      </w:r>
      <w:r w:rsidRPr="00BA0E9A">
        <w:rPr>
          <w:u w:val="single" w:color="000000" w:themeColor="text1"/>
        </w:rPr>
        <w:noBreakHyphen/>
        <w:t>20</w:t>
      </w:r>
      <w:r>
        <w:rPr>
          <w:u w:color="000000" w:themeColor="text1"/>
        </w:rPr>
        <w:t>.”</w:t>
      </w:r>
      <w:r w:rsidRPr="00BA0E9A">
        <w:rPr>
          <w:u w:color="000000" w:themeColor="text1"/>
        </w:rPr>
        <w:t>/</w:t>
      </w:r>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0E9A">
        <w:rPr>
          <w:snapToGrid w:val="0"/>
        </w:rPr>
        <w:tab/>
        <w:t>Renumber sections to conform.</w:t>
      </w:r>
    </w:p>
    <w:p w:rsid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0E9A">
        <w:rPr>
          <w:snapToGrid w:val="0"/>
        </w:rPr>
        <w:tab/>
        <w:t>Amend title to conform.</w:t>
      </w:r>
      <w:bookmarkStart w:id="0" w:name="temp"/>
      <w:bookmarkEnd w:id="0"/>
    </w:p>
    <w:p w:rsidR="00E37734" w:rsidRPr="00BA0E9A"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E37734" w:rsidRPr="00E37734" w:rsidRDefault="00E37734" w:rsidP="00E3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34" w:rsidRDefault="00E37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7734" w:rsidSect="00E37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BB3" w:rsidRDefault="007F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11B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D6E1A">
        <w:rPr>
          <w:color w:val="000000" w:themeColor="text1"/>
          <w:u w:color="000000" w:themeColor="text1"/>
        </w:rPr>
        <w:t>TO AMEND THE CODE OF LAWS OF SOUTH CAROLINA, 1976, BY ADDING SECTION 38</w:t>
      </w:r>
      <w:r w:rsidR="009610F5">
        <w:rPr>
          <w:color w:val="000000" w:themeColor="text1"/>
          <w:u w:color="000000" w:themeColor="text1"/>
        </w:rPr>
        <w:noBreakHyphen/>
      </w:r>
      <w:r w:rsidRPr="004D6E1A">
        <w:rPr>
          <w:color w:val="000000" w:themeColor="text1"/>
          <w:u w:color="000000" w:themeColor="text1"/>
        </w:rPr>
        <w:t>47</w:t>
      </w:r>
      <w:r w:rsidR="009610F5">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9610F5" w:rsidRPr="009610F5">
        <w:rPr>
          <w:color w:val="000000" w:themeColor="text1"/>
          <w:u w:color="000000" w:themeColor="text1"/>
        </w:rPr>
        <w:t>’</w:t>
      </w:r>
      <w:r w:rsidR="00F370DF">
        <w:rPr>
          <w:color w:val="000000" w:themeColor="text1"/>
          <w:u w:color="000000" w:themeColor="text1"/>
        </w:rPr>
        <w:t>S LICENSE; BY A</w:t>
      </w:r>
      <w:r w:rsidRPr="004D6E1A">
        <w:rPr>
          <w:color w:val="000000" w:themeColor="text1"/>
          <w:u w:color="000000" w:themeColor="text1"/>
        </w:rPr>
        <w:t>DD</w:t>
      </w:r>
      <w:r w:rsidR="00F370DF">
        <w:rPr>
          <w:color w:val="000000" w:themeColor="text1"/>
          <w:u w:color="000000" w:themeColor="text1"/>
        </w:rPr>
        <w:t>ING</w:t>
      </w:r>
      <w:r w:rsidRPr="004D6E1A">
        <w:rPr>
          <w:color w:val="000000" w:themeColor="text1"/>
          <w:u w:color="000000" w:themeColor="text1"/>
        </w:rPr>
        <w:t xml:space="preserve"> SECTION 38</w:t>
      </w:r>
      <w:r w:rsidR="009610F5">
        <w:rPr>
          <w:color w:val="000000" w:themeColor="text1"/>
          <w:u w:color="000000" w:themeColor="text1"/>
        </w:rPr>
        <w:noBreakHyphen/>
      </w:r>
      <w:r w:rsidRPr="004D6E1A">
        <w:rPr>
          <w:color w:val="000000" w:themeColor="text1"/>
          <w:u w:color="000000" w:themeColor="text1"/>
        </w:rPr>
        <w:t>72</w:t>
      </w:r>
      <w:r w:rsidR="009610F5">
        <w:rPr>
          <w:color w:val="000000" w:themeColor="text1"/>
          <w:u w:color="000000" w:themeColor="text1"/>
        </w:rPr>
        <w:noBreakHyphen/>
      </w:r>
      <w:r w:rsidRPr="004D6E1A">
        <w:rPr>
          <w:color w:val="000000" w:themeColor="text1"/>
          <w:u w:color="000000" w:themeColor="text1"/>
        </w:rPr>
        <w:t>75 SO AS TO REQUIRE A LONG</w:t>
      </w:r>
      <w:r w:rsidR="009610F5">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 RELAT</w:t>
      </w:r>
      <w:r w:rsidR="00F370DF">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60 AND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90, BOTH RELATING</w:t>
      </w:r>
      <w:r w:rsidR="00FC705D">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9610F5">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AND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730 AND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9610F5">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9610F5">
        <w:rPr>
          <w:color w:val="000000" w:themeColor="text1"/>
          <w:u w:color="000000" w:themeColor="text1"/>
        </w:rPr>
        <w:noBreakHyphen/>
      </w:r>
      <w:r w:rsidRPr="004D6E1A">
        <w:rPr>
          <w:color w:val="000000" w:themeColor="text1"/>
          <w:u w:color="000000" w:themeColor="text1"/>
        </w:rPr>
        <w:t>DAY PERIOD;</w:t>
      </w:r>
      <w:r w:rsidR="00730E84">
        <w:rPr>
          <w:color w:val="000000" w:themeColor="text1"/>
          <w:u w:color="000000" w:themeColor="text1"/>
        </w:rPr>
        <w:t xml:space="preserve"> TO AMEND 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 RELATING </w:t>
      </w:r>
      <w:r w:rsidR="00A20AC2">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20.</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47</w:t>
      </w:r>
      <w:r w:rsidR="009610F5">
        <w:rPr>
          <w:color w:val="000000" w:themeColor="text1"/>
          <w:u w:color="000000" w:themeColor="text1"/>
        </w:rPr>
        <w:noBreakHyphen/>
      </w:r>
      <w:r w:rsidR="00BD074A" w:rsidRPr="004D6E1A">
        <w:rPr>
          <w:color w:val="000000" w:themeColor="text1"/>
          <w:u w:color="000000" w:themeColor="text1"/>
        </w:rPr>
        <w:t>55.</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(2)</w:t>
      </w:r>
      <w:r>
        <w:rPr>
          <w:color w:val="000000" w:themeColor="text1"/>
          <w:u w:color="000000" w:themeColor="text1"/>
        </w:rPr>
        <w:tab/>
      </w:r>
      <w:r w:rsidR="00BD074A" w:rsidRPr="004D6E1A">
        <w:rPr>
          <w:color w:val="000000" w:themeColor="text1"/>
          <w:u w:color="000000" w:themeColor="text1"/>
        </w:rPr>
        <w:t>Such officer, employee, attorney</w:t>
      </w:r>
      <w:r>
        <w:rPr>
          <w:color w:val="000000" w:themeColor="text1"/>
          <w:u w:color="000000" w:themeColor="text1"/>
        </w:rPr>
        <w:t>,</w:t>
      </w:r>
      <w:r w:rsidR="00BD074A" w:rsidRPr="004D6E1A">
        <w:rPr>
          <w:color w:val="000000" w:themeColor="text1"/>
          <w:u w:color="000000" w:themeColor="text1"/>
        </w:rPr>
        <w:t xml:space="preserve"> or producer is not required to have an adjuster</w:t>
      </w:r>
      <w:r w:rsidR="009610F5" w:rsidRPr="009610F5">
        <w:rPr>
          <w:color w:val="000000" w:themeColor="text1"/>
          <w:u w:color="000000" w:themeColor="text1"/>
        </w:rPr>
        <w:t>’</w:t>
      </w:r>
      <w:r w:rsidR="00BD074A"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00BD074A" w:rsidRPr="004D6E1A">
        <w:rPr>
          <w:color w:val="000000" w:themeColor="text1"/>
          <w:u w:color="000000" w:themeColor="text1"/>
        </w:rPr>
        <w:t>itle, the director or his designee may suspend or revoke the insurer</w:t>
      </w:r>
      <w:r w:rsidR="009610F5" w:rsidRPr="009610F5">
        <w:rPr>
          <w:color w:val="000000" w:themeColor="text1"/>
          <w:u w:color="000000" w:themeColor="text1"/>
        </w:rPr>
        <w:t>’</w:t>
      </w:r>
      <w:r w:rsidR="00BD074A" w:rsidRPr="004D6E1A">
        <w:rPr>
          <w:color w:val="000000" w:themeColor="text1"/>
          <w:u w:color="000000" w:themeColor="text1"/>
        </w:rPr>
        <w:t>s certificate of authority.</w:t>
      </w:r>
      <w:r>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2.</w:t>
      </w:r>
      <w:r w:rsidR="00FC705D">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72</w:t>
      </w:r>
      <w:r w:rsidR="009610F5">
        <w:rPr>
          <w:color w:val="000000" w:themeColor="text1"/>
          <w:u w:color="000000" w:themeColor="text1"/>
        </w:rPr>
        <w:noBreakHyphen/>
      </w:r>
      <w:r w:rsidR="00BD074A" w:rsidRPr="004D6E1A">
        <w:rPr>
          <w:color w:val="000000" w:themeColor="text1"/>
          <w:u w:color="000000" w:themeColor="text1"/>
        </w:rPr>
        <w:t>75.</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All premium rate schedules for long</w:t>
      </w:r>
      <w:r w:rsidR="009610F5">
        <w:rPr>
          <w:color w:val="000000" w:themeColor="text1"/>
          <w:u w:color="000000" w:themeColor="text1"/>
        </w:rPr>
        <w:noBreakHyphen/>
      </w:r>
      <w:r w:rsidR="00BD074A"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00BD074A"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sidR="00FC705D">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sidR="00FC705D">
        <w:rPr>
          <w:color w:val="000000" w:themeColor="text1"/>
          <w:u w:color="000000" w:themeColor="text1"/>
        </w:rPr>
        <w:t>d</w:t>
      </w:r>
      <w:r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sidR="00FC705D">
        <w:rPr>
          <w:color w:val="000000" w:themeColor="text1"/>
          <w:u w:color="000000" w:themeColor="text1"/>
        </w:rPr>
        <w:t>d</w:t>
      </w:r>
      <w:r w:rsidRPr="004D6E1A">
        <w:rPr>
          <w:color w:val="000000" w:themeColor="text1"/>
          <w:u w:color="000000" w:themeColor="text1"/>
        </w:rPr>
        <w:t>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director or his designee may disapprove</w:t>
      </w:r>
      <w:r w:rsidR="00730E84">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sidR="00730E84">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D074A" w:rsidRPr="004D6E1A">
        <w:rPr>
          <w:color w:val="000000" w:themeColor="text1"/>
          <w:u w:color="000000" w:themeColor="text1"/>
        </w:rPr>
        <w:t xml:space="preserve">The </w:t>
      </w:r>
      <w:r>
        <w:rPr>
          <w:color w:val="000000" w:themeColor="text1"/>
          <w:u w:color="000000" w:themeColor="text1"/>
        </w:rPr>
        <w:t>d</w:t>
      </w:r>
      <w:r w:rsidR="00BD074A" w:rsidRPr="004D6E1A">
        <w:rPr>
          <w:color w:val="000000" w:themeColor="text1"/>
          <w:u w:color="000000" w:themeColor="text1"/>
        </w:rPr>
        <w:t>irector may disapprove a previously approved filing at any time following notice to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sidR="00FC705D">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sidR="00FC705D">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sidR="00FC705D">
        <w:rPr>
          <w:color w:val="000000" w:themeColor="text1"/>
          <w:u w:color="000000" w:themeColor="text1"/>
        </w:rPr>
        <w:t>d</w:t>
      </w:r>
      <w:r w:rsidRPr="004D6E1A">
        <w:rPr>
          <w:color w:val="000000" w:themeColor="text1"/>
          <w:u w:color="000000" w:themeColor="text1"/>
        </w:rPr>
        <w:t xml:space="preserve">irector or his designee </w:t>
      </w:r>
      <w:r w:rsidR="00FC705D">
        <w:rPr>
          <w:color w:val="000000" w:themeColor="text1"/>
          <w:u w:color="000000" w:themeColor="text1"/>
        </w:rPr>
        <w:t>by</w:t>
      </w:r>
      <w:r w:rsidRPr="004D6E1A">
        <w:rPr>
          <w:color w:val="000000" w:themeColor="text1"/>
          <w:u w:color="000000" w:themeColor="text1"/>
        </w:rPr>
        <w:t xml:space="preserve"> bulletin, regulation, or other method.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In addition to the factors set forth in</w:t>
      </w:r>
      <w:r w:rsidR="00730E84">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a</w:t>
      </w:r>
      <w:r w:rsidRPr="004D6E1A">
        <w:rPr>
          <w:color w:val="000000" w:themeColor="text1"/>
          <w:u w:color="000000" w:themeColor="text1"/>
        </w:rPr>
        <w:t xml:space="preserve">) </w:t>
      </w:r>
      <w:r w:rsidR="00FC705D">
        <w:rPr>
          <w:color w:val="000000" w:themeColor="text1"/>
          <w:u w:color="000000" w:themeColor="text1"/>
        </w:rPr>
        <w:tab/>
      </w:r>
      <w:r w:rsidRPr="004D6E1A">
        <w:rPr>
          <w:color w:val="000000" w:themeColor="text1"/>
          <w:u w:color="000000" w:themeColor="text1"/>
        </w:rPr>
        <w:t>past and prospective loss experience in and outside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b</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underwriting practice and judgment;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 reasonable margin for reserve needs;</w:t>
      </w:r>
    </w:p>
    <w:p w:rsidR="00BD074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730E84" w:rsidRPr="004D6E1A"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f</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The </w:t>
      </w:r>
      <w:r w:rsidR="00FC705D">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9610F5">
        <w:rPr>
          <w:color w:val="000000" w:themeColor="text1"/>
          <w:u w:color="000000" w:themeColor="text1"/>
        </w:rPr>
        <w:noBreakHyphen/>
      </w:r>
      <w:r w:rsidRPr="004D6E1A">
        <w:rPr>
          <w:color w:val="000000" w:themeColor="text1"/>
          <w:u w:color="000000" w:themeColor="text1"/>
        </w:rPr>
        <w:t xml:space="preserve">term care insurance rate filings received by the </w:t>
      </w:r>
      <w:r w:rsidR="00FC705D">
        <w:rPr>
          <w:color w:val="000000" w:themeColor="text1"/>
          <w:u w:color="000000" w:themeColor="text1"/>
        </w:rPr>
        <w:t>d</w:t>
      </w:r>
      <w:r w:rsidRPr="004D6E1A">
        <w:rPr>
          <w:color w:val="000000" w:themeColor="text1"/>
          <w:u w:color="000000" w:themeColor="text1"/>
        </w:rPr>
        <w:t xml:space="preserve">irector or his designee.   The </w:t>
      </w:r>
      <w:r w:rsidR="00FC705D">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 xml:space="preserve">Notwithstanding the provisions of subitem (1), if the Director or his designee holds a public hearing or solicits public comments on a premium rate filing pursuant to </w:t>
      </w:r>
      <w:r w:rsidR="00FC705D">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E</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Each decision of the </w:t>
      </w:r>
      <w:r w:rsidR="00FC705D">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210.</w:t>
      </w:r>
      <w:r w:rsidR="00FC705D">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 xml:space="preserve">110(5)(a)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director </w:t>
      </w:r>
      <w:r w:rsidR="00BD074A" w:rsidRPr="004D6E1A">
        <w:rPr>
          <w:strike/>
          <w:color w:val="000000" w:themeColor="text1"/>
          <w:u w:color="000000" w:themeColor="text1"/>
        </w:rPr>
        <w:t>must</w:t>
      </w:r>
      <w:r w:rsidR="00BD074A" w:rsidRPr="004D6E1A">
        <w:rPr>
          <w:color w:val="000000" w:themeColor="text1"/>
          <w:u w:color="000000" w:themeColor="text1"/>
        </w:rPr>
        <w:t xml:space="preserve"> </w:t>
      </w:r>
      <w:r w:rsidR="00BD074A" w:rsidRPr="004D6E1A">
        <w:rPr>
          <w:color w:val="000000" w:themeColor="text1"/>
          <w:u w:val="single" w:color="000000" w:themeColor="text1"/>
        </w:rPr>
        <w:t>may</w:t>
      </w:r>
      <w:r w:rsidR="00BD074A" w:rsidRPr="004D6E1A">
        <w:rPr>
          <w:color w:val="000000" w:themeColor="text1"/>
          <w:u w:color="000000" w:themeColor="text1"/>
        </w:rPr>
        <w:t xml:space="preserve"> hold a public hearing </w:t>
      </w:r>
      <w:r w:rsidR="00BD074A" w:rsidRPr="004D6E1A">
        <w:rPr>
          <w:strike/>
          <w:color w:val="000000" w:themeColor="text1"/>
          <w:u w:color="000000" w:themeColor="text1"/>
        </w:rPr>
        <w:t>at least annually</w:t>
      </w:r>
      <w:r w:rsidR="00BD074A" w:rsidRPr="004D6E1A">
        <w:rPr>
          <w:color w:val="000000" w:themeColor="text1"/>
          <w:u w:color="000000" w:themeColor="text1"/>
        </w:rPr>
        <w:t xml:space="preserve"> at a location within the seacoast area, as defined in Section 38</w:t>
      </w:r>
      <w:r w:rsidR="009610F5">
        <w:rPr>
          <w:color w:val="000000" w:themeColor="text1"/>
          <w:u w:color="000000" w:themeColor="text1"/>
        </w:rPr>
        <w:noBreakHyphen/>
      </w:r>
      <w:r w:rsidR="00BD074A" w:rsidRPr="004D6E1A">
        <w:rPr>
          <w:color w:val="000000" w:themeColor="text1"/>
          <w:u w:color="000000" w:themeColor="text1"/>
        </w:rPr>
        <w:t>75</w:t>
      </w:r>
      <w:r w:rsidR="009610F5">
        <w:rPr>
          <w:color w:val="000000" w:themeColor="text1"/>
          <w:u w:color="000000" w:themeColor="text1"/>
        </w:rPr>
        <w:noBreakHyphen/>
      </w:r>
      <w:r w:rsidR="00BD074A"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 xml:space="preserve">20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20.</w:t>
      </w:r>
      <w:r>
        <w:rPr>
          <w:color w:val="000000" w:themeColor="text1"/>
          <w:u w:color="000000" w:themeColor="text1"/>
        </w:rPr>
        <w:tab/>
      </w:r>
      <w:r w:rsidR="00BD074A" w:rsidRPr="004D6E1A">
        <w:rPr>
          <w:color w:val="000000" w:themeColor="text1"/>
          <w:u w:color="000000" w:themeColor="text1"/>
        </w:rPr>
        <w:t>(A)</w:t>
      </w:r>
      <w:r w:rsidR="00BD074A" w:rsidRPr="004D6E1A">
        <w:rPr>
          <w:color w:val="000000" w:themeColor="text1"/>
          <w:u w:val="single" w:color="000000" w:themeColor="text1"/>
        </w:rPr>
        <w:t>(1)</w:t>
      </w:r>
      <w:r>
        <w:rPr>
          <w:color w:val="000000" w:themeColor="text1"/>
          <w:u w:color="000000" w:themeColor="text1"/>
        </w:rPr>
        <w:tab/>
      </w:r>
      <w:r w:rsidR="00BD074A"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9610F5" w:rsidRPr="009610F5">
        <w:rPr>
          <w:color w:val="000000" w:themeColor="text1"/>
          <w:u w:color="000000" w:themeColor="text1"/>
        </w:rPr>
        <w:t>’</w:t>
      </w:r>
      <w:r w:rsidR="00BD074A" w:rsidRPr="004D6E1A">
        <w:rPr>
          <w:color w:val="000000" w:themeColor="text1"/>
          <w:u w:color="000000" w:themeColor="text1"/>
        </w:rPr>
        <w:t xml:space="preserve"> compensation insurance premiums, and annuity considerations, written by the company in the State during each calendar year ending on the thirty</w:t>
      </w:r>
      <w:r w:rsidR="009610F5">
        <w:rPr>
          <w:color w:val="000000" w:themeColor="text1"/>
          <w:u w:color="000000" w:themeColor="text1"/>
        </w:rPr>
        <w:noBreakHyphen/>
      </w:r>
      <w:r w:rsidR="00BD074A" w:rsidRPr="004D6E1A">
        <w:rPr>
          <w:color w:val="000000" w:themeColor="text1"/>
          <w:u w:color="000000" w:themeColor="text1"/>
        </w:rPr>
        <w:t>first day of December. For life insurance, the insurance premium tax levied herein is equal to three</w:t>
      </w:r>
      <w:r w:rsidR="009610F5">
        <w:rPr>
          <w:color w:val="000000" w:themeColor="text1"/>
          <w:u w:color="000000" w:themeColor="text1"/>
        </w:rPr>
        <w:noBreakHyphen/>
      </w:r>
      <w:r w:rsidR="00BD074A" w:rsidRPr="004D6E1A">
        <w:rPr>
          <w:color w:val="000000" w:themeColor="text1"/>
          <w:u w:color="000000" w:themeColor="text1"/>
        </w:rPr>
        <w:t>fourths of one percent of the total premiums written. For all other types of insurance, the insurance premium tax levied in this section is equal to one and one</w:t>
      </w:r>
      <w:r w:rsidR="009610F5">
        <w:rPr>
          <w:color w:val="000000" w:themeColor="text1"/>
          <w:u w:color="000000" w:themeColor="text1"/>
        </w:rPr>
        <w:noBreakHyphen/>
      </w:r>
      <w:r w:rsidR="00BD074A" w:rsidRPr="004D6E1A">
        <w:rPr>
          <w:color w:val="000000" w:themeColor="text1"/>
          <w:u w:color="000000" w:themeColor="text1"/>
        </w:rPr>
        <w:t xml:space="preserve">fourth percent of the total premiums written. </w:t>
      </w:r>
      <w:r w:rsidR="00BD074A" w:rsidRPr="004D6E1A">
        <w:rPr>
          <w:strike/>
          <w:color w:val="000000" w:themeColor="text1"/>
          <w:u w:color="000000" w:themeColor="text1"/>
        </w:rPr>
        <w:t>In computing total premiums, return premiums on risks and dividends paid or credited to policyholders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sidR="00FC705D">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sidR="00FC705D">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sidR="00FC705D">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Effective July 1, 2013, through June 30, 2030, of the revenue of the premium taxes collected pursuant to this section:</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D074A" w:rsidRPr="004D6E1A">
        <w:rPr>
          <w:color w:val="000000" w:themeColor="text1"/>
          <w:u w:color="000000" w:themeColor="text1"/>
        </w:rPr>
        <w:t>one percent must be transferred to the South Carolina Forestry Commission and used by that agency for firefighting and firefighting equipment replacement;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9610F5">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9610F5">
        <w:rPr>
          <w:color w:val="000000" w:themeColor="text1"/>
          <w:u w:color="000000" w:themeColor="text1"/>
        </w:rPr>
        <w:noBreakHyphen/>
      </w:r>
      <w:r w:rsidRPr="004D6E1A">
        <w:rPr>
          <w:color w:val="000000" w:themeColor="text1"/>
          <w:u w:color="000000" w:themeColor="text1"/>
        </w:rPr>
        <w:t>SAFE program pursuant to Section 23</w:t>
      </w:r>
      <w:r w:rsidR="009610F5">
        <w:rPr>
          <w:color w:val="000000" w:themeColor="text1"/>
          <w:u w:color="000000" w:themeColor="text1"/>
        </w:rPr>
        <w:noBreakHyphen/>
      </w:r>
      <w:r w:rsidRPr="004D6E1A">
        <w:rPr>
          <w:color w:val="000000" w:themeColor="text1"/>
          <w:u w:color="000000" w:themeColor="text1"/>
        </w:rPr>
        <w:t>9</w:t>
      </w:r>
      <w:r w:rsidR="009610F5">
        <w:rPr>
          <w:color w:val="000000" w:themeColor="text1"/>
          <w:u w:color="000000" w:themeColor="text1"/>
        </w:rPr>
        <w:noBreakHyphen/>
      </w:r>
      <w:r w:rsidRPr="004D6E1A">
        <w:rPr>
          <w:color w:val="000000" w:themeColor="text1"/>
          <w:u w:color="000000" w:themeColor="text1"/>
        </w:rPr>
        <w:t>25;</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sidR="00FC705D">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w:t>
      </w:r>
      <w:r w:rsidR="00FC705D">
        <w:rPr>
          <w:color w:val="000000" w:themeColor="text1"/>
          <w:u w:color="000000" w:themeColor="text1"/>
        </w:rPr>
        <w:t>(1) and (3)</w:t>
      </w:r>
      <w:r w:rsidRPr="004D6E1A">
        <w:rPr>
          <w:color w:val="000000" w:themeColor="text1"/>
          <w:u w:color="000000" w:themeColor="text1"/>
        </w:rPr>
        <w:t xml:space="preserve">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60.</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Not later than March first of each year, every insurer licensed by the director or his designee shall file with him a return of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in the State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return must be made on forms prescribed by the director or his designee and must be made under oath by the insurer</w:t>
      </w:r>
      <w:r w:rsidR="009610F5" w:rsidRPr="009610F5">
        <w:rPr>
          <w:color w:val="000000" w:themeColor="text1"/>
          <w:u w:color="000000" w:themeColor="text1"/>
        </w:rPr>
        <w:t>’</w:t>
      </w:r>
      <w:r w:rsidR="00BD074A" w:rsidRPr="004D6E1A">
        <w:rPr>
          <w:color w:val="000000" w:themeColor="text1"/>
          <w:u w:color="000000" w:themeColor="text1"/>
        </w:rPr>
        <w:t>s employee or representative responsible for the preparation of fee and tax returns, as well as an officer of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premium and other taxes imposed on insurers pursuant to Sections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30, 38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40, 38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50, and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D074A" w:rsidRPr="004D6E1A">
        <w:rPr>
          <w:color w:val="000000" w:themeColor="text1"/>
          <w:u w:color="000000" w:themeColor="text1"/>
        </w:rPr>
        <w:t>The quarterly installments paid on or before June first, September first, and December first must each be computed based upon one</w:t>
      </w:r>
      <w:r w:rsidR="009610F5">
        <w:rPr>
          <w:color w:val="000000" w:themeColor="text1"/>
          <w:u w:color="000000" w:themeColor="text1"/>
        </w:rPr>
        <w:noBreakHyphen/>
      </w:r>
      <w:r w:rsidR="00BD074A" w:rsidRPr="004D6E1A">
        <w:rPr>
          <w:color w:val="000000" w:themeColor="text1"/>
          <w:u w:color="000000" w:themeColor="text1"/>
        </w:rPr>
        <w:t xml:space="preserve">fourth of the total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quarterly installments for June first, September first, and December first must be reported on forms prescribed by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sidR="00F370DF">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5.</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 xml:space="preserve">247(B)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Within thirty days of </w:t>
      </w:r>
      <w:r w:rsidR="00BD074A" w:rsidRPr="004D6E1A">
        <w:rPr>
          <w:strike/>
          <w:color w:val="000000" w:themeColor="text1"/>
          <w:u w:color="000000" w:themeColor="text1"/>
        </w:rPr>
        <w:t>the initial pretrial hearing date</w:t>
      </w:r>
      <w:r w:rsidR="00BD074A" w:rsidRPr="004D6E1A">
        <w:rPr>
          <w:color w:val="000000" w:themeColor="text1"/>
          <w:u w:color="000000" w:themeColor="text1"/>
        </w:rPr>
        <w:t xml:space="preserve"> </w:t>
      </w:r>
      <w:r w:rsidR="00BD074A" w:rsidRPr="004D6E1A">
        <w:rPr>
          <w:color w:val="000000" w:themeColor="text1"/>
          <w:u w:val="single" w:color="000000" w:themeColor="text1"/>
        </w:rPr>
        <w:t>a conviction</w:t>
      </w:r>
      <w:r w:rsidR="00BD074A" w:rsidRPr="004D6E1A">
        <w:rPr>
          <w:color w:val="000000" w:themeColor="text1"/>
          <w:u w:color="000000" w:themeColor="text1"/>
        </w:rPr>
        <w:t xml:space="preserve">, a producer shall report to the insurance director any criminal </w:t>
      </w:r>
      <w:r w:rsidR="00BD074A" w:rsidRPr="004D6E1A">
        <w:rPr>
          <w:strike/>
          <w:color w:val="000000" w:themeColor="text1"/>
          <w:u w:color="000000" w:themeColor="text1"/>
        </w:rPr>
        <w:t>prosecution</w:t>
      </w:r>
      <w:r w:rsidR="00BD074A" w:rsidRPr="004D6E1A">
        <w:rPr>
          <w:color w:val="000000" w:themeColor="text1"/>
          <w:u w:color="000000" w:themeColor="text1"/>
        </w:rPr>
        <w:t xml:space="preserve"> </w:t>
      </w:r>
      <w:r w:rsidR="00BD074A" w:rsidRPr="004D6E1A">
        <w:rPr>
          <w:color w:val="000000" w:themeColor="text1"/>
          <w:u w:val="single" w:color="000000" w:themeColor="text1"/>
        </w:rPr>
        <w:t>conviction</w:t>
      </w:r>
      <w:r w:rsidR="00BD074A" w:rsidRPr="004D6E1A">
        <w:rPr>
          <w:color w:val="000000" w:themeColor="text1"/>
          <w:u w:color="000000" w:themeColor="text1"/>
        </w:rPr>
        <w:t xml:space="preserve"> of the producer taken in any jurisdiction. The report </w:t>
      </w:r>
      <w:r w:rsidR="00BD074A" w:rsidRPr="00FC705D">
        <w:rPr>
          <w:strike/>
          <w:color w:val="000000" w:themeColor="text1"/>
          <w:u w:color="000000" w:themeColor="text1"/>
        </w:rPr>
        <w:t>shall</w:t>
      </w:r>
      <w:r w:rsidR="00BD074A"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BD074A" w:rsidRPr="004D6E1A">
        <w:rPr>
          <w:color w:val="000000" w:themeColor="text1"/>
          <w:u w:color="000000" w:themeColor="text1"/>
        </w:rPr>
        <w:t xml:space="preserve">include a copy of the </w:t>
      </w:r>
      <w:r w:rsidR="00BD074A" w:rsidRPr="004D6E1A">
        <w:rPr>
          <w:strike/>
          <w:color w:val="000000" w:themeColor="text1"/>
          <w:u w:color="000000" w:themeColor="text1"/>
        </w:rPr>
        <w:t>initial complaint filed, the order resulting from the hearing,</w:t>
      </w:r>
      <w:r w:rsidR="00BD074A" w:rsidRPr="004D6E1A">
        <w:rPr>
          <w:color w:val="000000" w:themeColor="text1"/>
          <w:u w:color="000000" w:themeColor="text1"/>
        </w:rPr>
        <w:t xml:space="preserve"> </w:t>
      </w:r>
      <w:r w:rsidR="00BD074A" w:rsidRPr="004D6E1A">
        <w:rPr>
          <w:color w:val="000000" w:themeColor="text1"/>
          <w:u w:val="single" w:color="000000" w:themeColor="text1"/>
        </w:rPr>
        <w:t>order, sentencing document, or plea agreement</w:t>
      </w:r>
      <w:r w:rsidR="00BD074A" w:rsidRPr="004D6E1A">
        <w:rPr>
          <w:color w:val="000000" w:themeColor="text1"/>
          <w:u w:color="000000" w:themeColor="text1"/>
        </w:rPr>
        <w:t xml:space="preserve"> and any other relevant legal documents.”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6.</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 xml:space="preserve">50(A)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insurer shall file annually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074A" w:rsidRPr="004D6E1A">
        <w:rPr>
          <w:color w:val="000000" w:themeColor="text1"/>
          <w:u w:color="000000" w:themeColor="text1"/>
        </w:rPr>
        <w:t>7.</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46</w:t>
      </w:r>
      <w:r w:rsidR="009610F5">
        <w:rPr>
          <w:color w:val="000000" w:themeColor="text1"/>
          <w:u w:color="000000" w:themeColor="text1"/>
        </w:rPr>
        <w:noBreakHyphen/>
      </w:r>
      <w:r w:rsidR="00BD074A" w:rsidRPr="004D6E1A">
        <w:rPr>
          <w:color w:val="000000" w:themeColor="text1"/>
          <w:u w:color="000000" w:themeColor="text1"/>
        </w:rPr>
        <w:t xml:space="preserve">60(C)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 xml:space="preserve">The 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the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broker which the insurer has engaged. The statements must be prepared by an independent certified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The reinsurer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manager, which the reinsurer has engaged, prepared by an independent certified accountant in a form acceptable to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If a reinsurance intermediary</w:t>
      </w:r>
      <w:r w:rsidR="009610F5">
        <w:rPr>
          <w:color w:val="000000" w:themeColor="text1"/>
          <w:u w:color="000000" w:themeColor="text1"/>
        </w:rPr>
        <w:noBreakHyphen/>
      </w:r>
      <w:r w:rsidR="00BD074A"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9610F5">
        <w:rPr>
          <w:color w:val="000000" w:themeColor="text1"/>
          <w:u w:color="000000" w:themeColor="text1"/>
        </w:rPr>
        <w:noBreakHyphen/>
      </w:r>
      <w:r w:rsidR="00BD074A" w:rsidRPr="004D6E1A">
        <w:rPr>
          <w:color w:val="000000" w:themeColor="text1"/>
          <w:u w:color="000000" w:themeColor="text1"/>
        </w:rPr>
        <w:t xml:space="preserve">manager. The opinion must be filed not </w:t>
      </w:r>
      <w:r w:rsidR="00BD074A" w:rsidRPr="004D6E1A">
        <w:rPr>
          <w:color w:val="000000" w:themeColor="text1"/>
          <w:u w:color="000000" w:themeColor="text1"/>
        </w:rPr>
        <w:lastRenderedPageBreak/>
        <w:t xml:space="preserve">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This opinion is in addition to other required loss reserve certification.”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8.</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844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P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C.</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150 of the 1976 Code is amended</w:t>
      </w:r>
      <w:r w:rsidR="00844793">
        <w:rPr>
          <w:color w:val="000000" w:themeColor="text1"/>
          <w:u w:color="000000" w:themeColor="text1"/>
        </w:rPr>
        <w:t xml:space="preserve"> by adding an appropriately item at the end </w:t>
      </w:r>
      <w:r w:rsidRPr="004D6E1A">
        <w:rPr>
          <w:color w:val="000000" w:themeColor="text1"/>
          <w:u w:color="000000" w:themeColor="text1"/>
        </w:rPr>
        <w:t xml:space="preserve">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 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4793">
        <w:rPr>
          <w:color w:val="000000" w:themeColor="text1"/>
          <w:u w:color="000000" w:themeColor="text1"/>
        </w:rPr>
        <w:tab/>
      </w:r>
      <w:r w:rsidRPr="00844793">
        <w:rPr>
          <w:color w:val="000000" w:themeColor="text1"/>
          <w:u w:color="000000" w:themeColor="text1"/>
        </w:rPr>
        <w:tab/>
        <w:t>(b) 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9.</w:t>
      </w:r>
      <w:r w:rsidR="00844793">
        <w:rPr>
          <w:color w:val="000000" w:themeColor="text1"/>
          <w:u w:color="000000" w:themeColor="text1"/>
        </w:rPr>
        <w:tab/>
      </w:r>
      <w:r w:rsidRPr="004D6E1A">
        <w:rPr>
          <w:color w:val="000000" w:themeColor="text1"/>
          <w:u w:color="000000" w:themeColor="text1"/>
        </w:rPr>
        <w:t>A.</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(1)</w:t>
      </w:r>
      <w:r w:rsidR="00844793">
        <w:rPr>
          <w:color w:val="000000" w:themeColor="text1"/>
          <w:u w:color="000000" w:themeColor="text1"/>
        </w:rPr>
        <w:tab/>
      </w:r>
      <w:r w:rsidRPr="004D6E1A">
        <w:rPr>
          <w:color w:val="000000" w:themeColor="text1"/>
          <w:u w:color="000000" w:themeColor="text1"/>
        </w:rPr>
        <w:t>nonpayment of premium;</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00844793">
        <w:rPr>
          <w:color w:val="000000" w:themeColor="text1"/>
          <w:u w:color="000000" w:themeColor="text1"/>
        </w:rPr>
        <w:tab/>
      </w:r>
      <w:r w:rsidRPr="004D6E1A">
        <w:rPr>
          <w:color w:val="000000" w:themeColor="text1"/>
          <w:u w:color="000000" w:themeColor="text1"/>
        </w:rPr>
        <w:t>(2)</w:t>
      </w:r>
      <w:r w:rsidR="00844793">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(4)</w:t>
      </w:r>
      <w:r w:rsidR="00844793">
        <w:rPr>
          <w:color w:val="000000" w:themeColor="text1"/>
          <w:u w:color="000000" w:themeColor="text1"/>
        </w:rPr>
        <w:tab/>
      </w:r>
      <w:r w:rsidRPr="004D6E1A">
        <w:rPr>
          <w:color w:val="000000" w:themeColor="text1"/>
          <w:u w:color="000000" w:themeColor="text1"/>
        </w:rPr>
        <w:t>substantial breaches of contractual duties, conditions, or warranties;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(5)</w:t>
      </w:r>
      <w:r w:rsidR="00844793">
        <w:rPr>
          <w:color w:val="000000" w:themeColor="text1"/>
          <w:u w:color="000000" w:themeColor="text1"/>
        </w:rPr>
        <w:tab/>
      </w:r>
      <w:r w:rsidRPr="004D6E1A">
        <w:rPr>
          <w:color w:val="000000" w:themeColor="text1"/>
          <w:u w:color="000000" w:themeColor="text1"/>
        </w:rPr>
        <w:t>loss of the insurer</w:t>
      </w:r>
      <w:r w:rsidR="009610F5" w:rsidRPr="009610F5">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9610F5" w:rsidRPr="009610F5">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of cancellation, except where the reason for cancellation is nonpayment of premium, in which case not less than ten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must be furnished. </w:t>
      </w:r>
      <w:r w:rsidR="00BD074A" w:rsidRPr="004D6E1A">
        <w:rPr>
          <w:color w:val="000000" w:themeColor="text1"/>
          <w:u w:val="single" w:color="000000" w:themeColor="text1"/>
        </w:rPr>
        <w:t>Insurers may not cancel a policy outside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period if they had notice of the change in risk prior to the expiration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underwriting period.</w:t>
      </w:r>
      <w:r w:rsidR="00BD074A"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9610F5"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0F5">
        <w:rPr>
          <w:color w:val="000000" w:themeColor="text1"/>
          <w:u w:color="000000" w:themeColor="text1"/>
        </w:rPr>
        <w:t>‘</w:t>
      </w:r>
      <w:r w:rsidR="00BD074A" w:rsidRPr="004D6E1A">
        <w:rPr>
          <w:color w:val="000000" w:themeColor="text1"/>
          <w:u w:color="000000" w:themeColor="text1"/>
        </w:rPr>
        <w:t xml:space="preserve">THE INSURER CAN CANCEL THIS POLICY FOR WHICH YOU ARE APPLYING WITHOUT CAUSE DURING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THAT IS THE INSURER</w:t>
      </w:r>
      <w:r w:rsidRPr="009610F5">
        <w:rPr>
          <w:color w:val="000000" w:themeColor="text1"/>
          <w:u w:color="000000" w:themeColor="text1"/>
        </w:rPr>
        <w:t>’</w:t>
      </w:r>
      <w:r w:rsidR="00BD074A" w:rsidRPr="004D6E1A">
        <w:rPr>
          <w:color w:val="000000" w:themeColor="text1"/>
          <w:u w:color="000000" w:themeColor="text1"/>
        </w:rPr>
        <w:t xml:space="preserve">S CHOICE. AFTER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THE INSURER CAN ONLY CANCEL THIS POLICY FOR REASONS STATED IN THE POLICY.</w:t>
      </w:r>
      <w:r w:rsidRPr="009610F5">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074A" w:rsidRPr="004D6E1A">
        <w:rPr>
          <w:color w:val="000000" w:themeColor="text1"/>
          <w:u w:color="000000" w:themeColor="text1"/>
        </w:rPr>
        <w:t>(D)</w:t>
      </w:r>
      <w:r>
        <w:rPr>
          <w:color w:val="000000" w:themeColor="text1"/>
          <w:u w:color="000000" w:themeColor="text1"/>
        </w:rPr>
        <w:tab/>
      </w:r>
      <w:r w:rsidR="00BD074A" w:rsidRPr="004D6E1A">
        <w:rPr>
          <w:color w:val="000000" w:themeColor="text1"/>
          <w:u w:color="000000" w:themeColor="text1"/>
        </w:rPr>
        <w:t xml:space="preserve">The insurer may cancel without cause at any time in the first </w:t>
      </w:r>
      <w:r w:rsidR="00BD074A" w:rsidRPr="004D6E1A">
        <w:rPr>
          <w:strike/>
          <w:color w:val="000000" w:themeColor="text1"/>
          <w:u w:color="000000" w:themeColor="text1"/>
        </w:rPr>
        <w:t>ninety</w:t>
      </w:r>
      <w:r w:rsidR="00BD074A" w:rsidRPr="004D6E1A">
        <w:rPr>
          <w:color w:val="000000" w:themeColor="text1"/>
          <w:u w:color="000000" w:themeColor="text1"/>
        </w:rPr>
        <w:t xml:space="preserve"> </w:t>
      </w:r>
      <w:r w:rsidR="00BD074A" w:rsidRPr="004D6E1A">
        <w:rPr>
          <w:color w:val="000000" w:themeColor="text1"/>
          <w:u w:val="single" w:color="000000" w:themeColor="text1"/>
        </w:rPr>
        <w:t>one hundred twenty</w:t>
      </w:r>
      <w:r w:rsidR="00BD074A" w:rsidRPr="004D6E1A">
        <w:rPr>
          <w:color w:val="000000" w:themeColor="text1"/>
          <w:u w:color="000000" w:themeColor="text1"/>
        </w:rPr>
        <w:t xml:space="preserve"> days during which the policy is in effect.”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1</w:t>
      </w:r>
      <w:r w:rsidR="00730E84">
        <w:rPr>
          <w:color w:val="000000" w:themeColor="text1"/>
          <w:u w:color="000000" w:themeColor="text1"/>
        </w:rPr>
        <w:t>0</w:t>
      </w:r>
      <w:r w:rsidRPr="004D6E1A">
        <w:rPr>
          <w:color w:val="000000" w:themeColor="text1"/>
          <w:u w:color="000000" w:themeColor="text1"/>
        </w:rPr>
        <w:t>.</w:t>
      </w:r>
      <w:r w:rsidR="00730E84">
        <w:rPr>
          <w:color w:val="000000" w:themeColor="text1"/>
          <w:u w:color="000000" w:themeColor="text1"/>
        </w:rPr>
        <w:tab/>
        <w:t>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160(A) and (C) of the 1976 Code, as amended by Act 251 of 2018, is further amended to read:</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4"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9610F5">
        <w:noBreakHyphen/>
      </w:r>
      <w:r w:rsidRPr="0060316C">
        <w:t>5</w:t>
      </w:r>
      <w:r w:rsidR="009610F5">
        <w:noBreakHyphen/>
      </w:r>
      <w:r w:rsidRPr="0060316C">
        <w:t>120(A)(5), 38</w:t>
      </w:r>
      <w:r w:rsidR="009610F5">
        <w:noBreakHyphen/>
      </w:r>
      <w:r w:rsidRPr="0060316C">
        <w:t>5</w:t>
      </w:r>
      <w:r w:rsidR="009610F5">
        <w:noBreakHyphen/>
      </w:r>
      <w:r w:rsidRPr="0060316C">
        <w:t>120(B), 38</w:t>
      </w:r>
      <w:r w:rsidR="009610F5">
        <w:noBreakHyphen/>
      </w:r>
      <w:r w:rsidRPr="0060316C">
        <w:t>5</w:t>
      </w:r>
      <w:r w:rsidR="009610F5">
        <w:noBreakHyphen/>
      </w:r>
      <w:r w:rsidRPr="0060316C">
        <w:t>120(D)(1), 38</w:t>
      </w:r>
      <w:r w:rsidR="009610F5">
        <w:noBreakHyphen/>
      </w:r>
      <w:r w:rsidRPr="0060316C">
        <w:t>5</w:t>
      </w:r>
      <w:r w:rsidR="009610F5">
        <w:noBreakHyphen/>
      </w:r>
      <w:r w:rsidRPr="0060316C">
        <w:t>120(D)(2), 38</w:t>
      </w:r>
      <w:r w:rsidR="009610F5">
        <w:noBreakHyphen/>
      </w:r>
      <w:r w:rsidRPr="0060316C">
        <w:t>9</w:t>
      </w:r>
      <w:r w:rsidR="009610F5">
        <w:noBreakHyphen/>
      </w:r>
      <w:r w:rsidRPr="0060316C">
        <w:t>225, 38</w:t>
      </w:r>
      <w:r w:rsidR="009610F5">
        <w:noBreakHyphen/>
      </w:r>
      <w:r w:rsidRPr="0060316C">
        <w:t>9</w:t>
      </w:r>
      <w:r w:rsidR="009610F5">
        <w:noBreakHyphen/>
      </w:r>
      <w:r w:rsidRPr="0060316C">
        <w:t>230, 38</w:t>
      </w:r>
      <w:r w:rsidR="009610F5">
        <w:noBreakHyphen/>
      </w:r>
      <w:r w:rsidRPr="0060316C">
        <w:t>21</w:t>
      </w:r>
      <w:r w:rsidR="009610F5">
        <w:noBreakHyphen/>
      </w:r>
      <w:r w:rsidRPr="0060316C">
        <w:t>10, 38</w:t>
      </w:r>
      <w:r w:rsidR="009610F5">
        <w:noBreakHyphen/>
      </w:r>
      <w:r w:rsidRPr="0060316C">
        <w:t>21</w:t>
      </w:r>
      <w:r w:rsidR="009610F5">
        <w:noBreakHyphen/>
      </w:r>
      <w:r w:rsidRPr="0060316C">
        <w:t>30, 38</w:t>
      </w:r>
      <w:r w:rsidR="009610F5">
        <w:noBreakHyphen/>
      </w:r>
      <w:r w:rsidRPr="0060316C">
        <w:t>21</w:t>
      </w:r>
      <w:r w:rsidR="009610F5">
        <w:noBreakHyphen/>
      </w:r>
      <w:r w:rsidRPr="0060316C">
        <w:t>60, 38</w:t>
      </w:r>
      <w:r w:rsidR="009610F5">
        <w:noBreakHyphen/>
      </w:r>
      <w:r w:rsidRPr="0060316C">
        <w:t>21</w:t>
      </w:r>
      <w:r w:rsidR="009610F5">
        <w:noBreakHyphen/>
      </w:r>
      <w:r w:rsidRPr="0060316C">
        <w:t>70, 38</w:t>
      </w:r>
      <w:r w:rsidR="009610F5">
        <w:noBreakHyphen/>
      </w:r>
      <w:r w:rsidRPr="0060316C">
        <w:t>21</w:t>
      </w:r>
      <w:r w:rsidR="009610F5">
        <w:noBreakHyphen/>
      </w:r>
      <w:r w:rsidRPr="0060316C">
        <w:t>80, 38</w:t>
      </w:r>
      <w:r w:rsidR="009610F5">
        <w:noBreakHyphen/>
      </w:r>
      <w:r w:rsidRPr="0060316C">
        <w:t>21</w:t>
      </w:r>
      <w:r w:rsidR="009610F5">
        <w:noBreakHyphen/>
      </w:r>
      <w:r w:rsidRPr="0060316C">
        <w:t>90, 38</w:t>
      </w:r>
      <w:r w:rsidR="009610F5">
        <w:noBreakHyphen/>
      </w:r>
      <w:r w:rsidRPr="0060316C">
        <w:t>21</w:t>
      </w:r>
      <w:r w:rsidR="009610F5">
        <w:noBreakHyphen/>
      </w:r>
      <w:r w:rsidRPr="0060316C">
        <w:t>95, 38</w:t>
      </w:r>
      <w:r w:rsidR="009610F5">
        <w:noBreakHyphen/>
      </w:r>
      <w:r w:rsidRPr="0060316C">
        <w:t>21</w:t>
      </w:r>
      <w:r w:rsidR="009610F5">
        <w:noBreakHyphen/>
      </w:r>
      <w:r w:rsidRPr="0060316C">
        <w:t>100, 38</w:t>
      </w:r>
      <w:r w:rsidR="009610F5">
        <w:noBreakHyphen/>
      </w:r>
      <w:r w:rsidRPr="0060316C">
        <w:t>21</w:t>
      </w:r>
      <w:r w:rsidR="009610F5">
        <w:noBreakHyphen/>
      </w:r>
      <w:r w:rsidRPr="0060316C">
        <w:t>110, 38</w:t>
      </w:r>
      <w:r w:rsidR="009610F5">
        <w:noBreakHyphen/>
      </w:r>
      <w:r w:rsidRPr="0060316C">
        <w:t>21</w:t>
      </w:r>
      <w:r w:rsidR="009610F5">
        <w:noBreakHyphen/>
      </w:r>
      <w:r w:rsidRPr="0060316C">
        <w:t>120, 38</w:t>
      </w:r>
      <w:r w:rsidR="009610F5">
        <w:noBreakHyphen/>
      </w:r>
      <w:r w:rsidRPr="0060316C">
        <w:t>21</w:t>
      </w:r>
      <w:r w:rsidR="009610F5">
        <w:noBreakHyphen/>
      </w:r>
      <w:r w:rsidRPr="0060316C">
        <w:t>130, 38</w:t>
      </w:r>
      <w:r w:rsidR="009610F5">
        <w:noBreakHyphen/>
      </w:r>
      <w:r w:rsidRPr="0060316C">
        <w:t>21</w:t>
      </w:r>
      <w:r w:rsidR="009610F5">
        <w:noBreakHyphen/>
      </w:r>
      <w:r w:rsidRPr="0060316C">
        <w:t>140, 38</w:t>
      </w:r>
      <w:r w:rsidR="009610F5">
        <w:noBreakHyphen/>
      </w:r>
      <w:r w:rsidRPr="0060316C">
        <w:t>21</w:t>
      </w:r>
      <w:r w:rsidR="009610F5">
        <w:noBreakHyphen/>
      </w:r>
      <w:r w:rsidRPr="0060316C">
        <w:t>150, 38</w:t>
      </w:r>
      <w:r w:rsidR="009610F5">
        <w:noBreakHyphen/>
      </w:r>
      <w:r w:rsidRPr="0060316C">
        <w:t>21</w:t>
      </w:r>
      <w:r w:rsidR="009610F5">
        <w:noBreakHyphen/>
      </w:r>
      <w:r w:rsidRPr="0060316C">
        <w:t>160, 38</w:t>
      </w:r>
      <w:r w:rsidR="009610F5">
        <w:noBreakHyphen/>
      </w:r>
      <w:r w:rsidRPr="0060316C">
        <w:t>21</w:t>
      </w:r>
      <w:r w:rsidR="009610F5">
        <w:noBreakHyphen/>
      </w:r>
      <w:r w:rsidRPr="0060316C">
        <w:t>170, 38</w:t>
      </w:r>
      <w:r w:rsidR="009610F5">
        <w:noBreakHyphen/>
      </w:r>
      <w:r w:rsidRPr="0060316C">
        <w:t>21</w:t>
      </w:r>
      <w:r w:rsidR="009610F5">
        <w:noBreakHyphen/>
      </w:r>
      <w:r w:rsidRPr="0060316C">
        <w:t>220, 38</w:t>
      </w:r>
      <w:r w:rsidR="009610F5">
        <w:noBreakHyphen/>
      </w:r>
      <w:r w:rsidRPr="0060316C">
        <w:t>21</w:t>
      </w:r>
      <w:r w:rsidR="009610F5">
        <w:noBreakHyphen/>
      </w:r>
      <w:r w:rsidRPr="0060316C">
        <w:t>225, 38</w:t>
      </w:r>
      <w:r w:rsidR="009610F5">
        <w:noBreakHyphen/>
      </w:r>
      <w:r w:rsidRPr="0060316C">
        <w:t>21</w:t>
      </w:r>
      <w:r w:rsidR="009610F5">
        <w:noBreakHyphen/>
      </w:r>
      <w:r w:rsidRPr="0060316C">
        <w:t>230, 38</w:t>
      </w:r>
      <w:r w:rsidR="009610F5">
        <w:noBreakHyphen/>
      </w:r>
      <w:r w:rsidRPr="0060316C">
        <w:t>21</w:t>
      </w:r>
      <w:r w:rsidR="009610F5">
        <w:noBreakHyphen/>
      </w:r>
      <w:r w:rsidRPr="0060316C">
        <w:t>250, 38</w:t>
      </w:r>
      <w:r w:rsidR="009610F5">
        <w:noBreakHyphen/>
      </w:r>
      <w:r w:rsidRPr="0060316C">
        <w:t>21</w:t>
      </w:r>
      <w:r w:rsidR="009610F5">
        <w:noBreakHyphen/>
      </w:r>
      <w:r w:rsidRPr="0060316C">
        <w:t>270, 38</w:t>
      </w:r>
      <w:r w:rsidR="009610F5">
        <w:noBreakHyphen/>
      </w:r>
      <w:r w:rsidRPr="0060316C">
        <w:t>21</w:t>
      </w:r>
      <w:r w:rsidR="009610F5">
        <w:noBreakHyphen/>
      </w:r>
      <w:r w:rsidRPr="0060316C">
        <w:t>280, 38</w:t>
      </w:r>
      <w:r w:rsidR="009610F5">
        <w:noBreakHyphen/>
      </w:r>
      <w:r w:rsidRPr="0060316C">
        <w:t>21</w:t>
      </w:r>
      <w:r w:rsidR="009610F5">
        <w:noBreakHyphen/>
      </w:r>
      <w:r w:rsidRPr="0060316C">
        <w:t>285, 38</w:t>
      </w:r>
      <w:r w:rsidR="009610F5">
        <w:noBreakHyphen/>
      </w:r>
      <w:r w:rsidRPr="0060316C">
        <w:t>21</w:t>
      </w:r>
      <w:r w:rsidR="009610F5">
        <w:noBreakHyphen/>
      </w:r>
      <w:r w:rsidRPr="0060316C">
        <w:t>290, 38</w:t>
      </w:r>
      <w:r w:rsidR="009610F5">
        <w:noBreakHyphen/>
      </w:r>
      <w:r w:rsidRPr="0060316C">
        <w:t>21</w:t>
      </w:r>
      <w:r w:rsidR="009610F5">
        <w:noBreakHyphen/>
      </w:r>
      <w:r w:rsidRPr="0060316C">
        <w:t>310, 38</w:t>
      </w:r>
      <w:r w:rsidR="009610F5">
        <w:noBreakHyphen/>
      </w:r>
      <w:r w:rsidRPr="0060316C">
        <w:t>21</w:t>
      </w:r>
      <w:r w:rsidR="009610F5">
        <w:noBreakHyphen/>
      </w:r>
      <w:r w:rsidRPr="0060316C">
        <w:t>320, 38</w:t>
      </w:r>
      <w:r w:rsidR="009610F5">
        <w:noBreakHyphen/>
      </w:r>
      <w:r w:rsidRPr="0060316C">
        <w:t>21</w:t>
      </w:r>
      <w:r w:rsidR="009610F5">
        <w:noBreakHyphen/>
      </w:r>
      <w:r w:rsidRPr="0060316C">
        <w:t>330, 38</w:t>
      </w:r>
      <w:r w:rsidR="009610F5">
        <w:noBreakHyphen/>
      </w:r>
      <w:r w:rsidRPr="0060316C">
        <w:t>21</w:t>
      </w:r>
      <w:r w:rsidR="009610F5">
        <w:noBreakHyphen/>
      </w:r>
      <w:r w:rsidRPr="0060316C">
        <w:t>360, 38</w:t>
      </w:r>
      <w:r w:rsidR="009610F5">
        <w:noBreakHyphen/>
      </w:r>
      <w:r w:rsidRPr="0060316C">
        <w:t>55</w:t>
      </w:r>
      <w:r w:rsidR="009610F5">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003A29C0">
        <w:rPr>
          <w:u w:val="single"/>
        </w:rPr>
        <w:t>,</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1</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70(A) of the 1976 Code, as added by Act 171 of 2018, is amended to read: </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following licensees are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9610F5">
        <w:rPr>
          <w:color w:val="000000" w:themeColor="text1"/>
          <w:u w:val="single" w:color="000000" w:themeColor="text1"/>
        </w:rPr>
        <w:noBreakHyphen/>
      </w:r>
      <w:r w:rsidRPr="004D6E1A">
        <w:rPr>
          <w:color w:val="000000" w:themeColor="text1"/>
          <w:u w:val="single" w:color="000000" w:themeColor="text1"/>
        </w:rPr>
        <w:t>99</w:t>
      </w:r>
      <w:r w:rsidR="009610F5">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 licensee with fewer than ten employees, including any independent contractors;</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 xml:space="preserve">an employee, agent, representative or designee of a licensee, who is also a licensee, is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9610F5">
        <w:rPr>
          <w:color w:val="000000" w:themeColor="text1"/>
          <w:u w:val="single" w:color="000000" w:themeColor="text1"/>
        </w:rPr>
        <w:noBreakHyphen/>
      </w:r>
      <w:r w:rsidRPr="004D6E1A">
        <w:rPr>
          <w:color w:val="000000" w:themeColor="text1"/>
          <w:u w:val="single" w:color="000000" w:themeColor="text1"/>
        </w:rPr>
        <w:t>99</w:t>
      </w:r>
      <w:r w:rsidR="009610F5">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 xml:space="preserve"> and need not develop its own information security program to the extent that the employee, agent, representative or designee is covered by the information security program of the other licensee; and</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a licensee subject to the Health Insurance Portability and Accountability Act, Pub.L. 104</w:t>
      </w:r>
      <w:r w:rsidR="009610F5">
        <w:rPr>
          <w:color w:val="000000" w:themeColor="text1"/>
          <w:u w:color="000000" w:themeColor="text1"/>
        </w:rPr>
        <w:noBreakHyphen/>
      </w:r>
      <w:r w:rsidRPr="004D6E1A">
        <w:rPr>
          <w:color w:val="000000" w:themeColor="text1"/>
          <w:u w:color="000000" w:themeColor="text1"/>
        </w:rPr>
        <w:t xml:space="preserve">191, 110 Stat. 1936, that has </w:t>
      </w:r>
      <w:r w:rsidRPr="004D6E1A">
        <w:rPr>
          <w:color w:val="000000" w:themeColor="text1"/>
          <w:u w:color="000000" w:themeColor="text1"/>
        </w:rPr>
        <w:lastRenderedPageBreak/>
        <w:t>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BEF"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sidR="00844793">
        <w:rPr>
          <w:color w:val="000000" w:themeColor="text1"/>
          <w:u w:color="000000" w:themeColor="text1"/>
        </w:rPr>
        <w:tab/>
      </w:r>
      <w:r w:rsidR="00BD074A" w:rsidRPr="004D6E1A">
        <w:rPr>
          <w:color w:val="000000" w:themeColor="text1"/>
          <w:u w:color="000000" w:themeColor="text1"/>
        </w:rPr>
        <w:t xml:space="preserve">This act takes effect on July 1, 2019. </w:t>
      </w:r>
    </w:p>
    <w:p w:rsidR="00840E59" w:rsidRDefault="009610F5" w:rsidP="00A2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EE8" w:rsidRDefault="00092EE8" w:rsidP="00092EE8">
      <w:pPr>
        <w:suppressAutoHyphens/>
      </w:pPr>
    </w:p>
    <w:sectPr w:rsidR="00092EE8" w:rsidSect="00E37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05D" w:rsidRDefault="00FC705D" w:rsidP="009F0C77">
      <w:r>
        <w:separator/>
      </w:r>
    </w:p>
  </w:endnote>
  <w:endnote w:type="continuationSeparator" w:id="0">
    <w:p w:rsidR="00FC705D" w:rsidRDefault="00FC70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174D89-2230-4B62-9FE5-3083622AC25D}"/>
    <w:embedBold r:id="rId2" w:fontKey="{96CCF396-C868-435A-B725-849CC287D558}"/>
  </w:font>
  <w:font w:name="Calibri">
    <w:panose1 w:val="020F0502020204030204"/>
    <w:charset w:val="00"/>
    <w:family w:val="swiss"/>
    <w:pitch w:val="variable"/>
    <w:sig w:usb0="E00002FF" w:usb1="4000ACFF" w:usb2="00000001" w:usb3="00000000" w:csb0="0000019F" w:csb1="00000000"/>
    <w:embedRegular r:id="rId3" w:fontKey="{8A9535C1-CD42-499F-8A9A-362C9CCD6E34}"/>
  </w:font>
  <w:font w:name="Segoe UI">
    <w:panose1 w:val="020B0502040204020203"/>
    <w:charset w:val="00"/>
    <w:family w:val="swiss"/>
    <w:pitch w:val="variable"/>
    <w:sig w:usb0="E10022FF" w:usb1="C000E47F" w:usb2="00000029" w:usb3="00000000" w:csb0="000001DF" w:csb1="00000000"/>
    <w:embedRegular r:id="rId4" w:fontKey="{C83B1808-DF2F-4538-B8D3-7CC52791F744}"/>
  </w:font>
  <w:font w:name="Cambria">
    <w:panose1 w:val="02040503050406030204"/>
    <w:charset w:val="00"/>
    <w:family w:val="roman"/>
    <w:pitch w:val="variable"/>
    <w:sig w:usb0="E00002FF" w:usb1="400004FF" w:usb2="00000000" w:usb3="00000000" w:csb0="0000019F" w:csb1="00000000"/>
    <w:embedRegular r:id="rId5" w:fontKey="{0C7B1B17-481D-48B0-AA50-0B2802875D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E59" w:rsidRPr="007F5BB3" w:rsidRDefault="007F5BB3" w:rsidP="007F5BB3">
    <w:pPr>
      <w:pStyle w:val="Footer"/>
      <w:tabs>
        <w:tab w:val="clear" w:pos="4680"/>
        <w:tab w:val="clear" w:pos="9360"/>
        <w:tab w:val="center" w:pos="2995"/>
      </w:tabs>
      <w:spacing w:before="120"/>
    </w:pPr>
    <w:r>
      <w:t>[360</w:t>
    </w:r>
    <w:r w:rsidR="00E37734">
      <w:t>-</w:t>
    </w:r>
    <w:r w:rsidR="00E37734">
      <w:fldChar w:fldCharType="begin"/>
    </w:r>
    <w:r w:rsidR="00E37734">
      <w:instrText xml:space="preserve"> PAGE  \* MERGEFORMAT </w:instrText>
    </w:r>
    <w:r w:rsidR="00E37734">
      <w:fldChar w:fldCharType="separate"/>
    </w:r>
    <w:r w:rsidR="00092EE8">
      <w:rPr>
        <w:noProof/>
      </w:rPr>
      <w:t>2</w:t>
    </w:r>
    <w:r w:rsidR="00E37734">
      <w:fldChar w:fldCharType="end"/>
    </w:r>
    <w:r w:rsidR="00E377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734" w:rsidRPr="007F5BB3" w:rsidRDefault="00E37734" w:rsidP="007F5BB3">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sidR="00092E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05D" w:rsidRDefault="00FC705D" w:rsidP="009F0C77">
      <w:r>
        <w:separator/>
      </w:r>
    </w:p>
  </w:footnote>
  <w:footnote w:type="continuationSeparator" w:id="0">
    <w:p w:rsidR="00FC705D" w:rsidRDefault="00FC70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8CZ19"/>
    <w:docVar w:name="CoverBillType" w:val="b"/>
    <w:docVar w:name="DocPath" w:val="L:\Council\bills\NBD\11078CZ19.DOCX"/>
    <w:docVar w:name="dvBillNumber" w:val="360"/>
    <w:docVar w:name="dvBillNumberPrefix" w:val="S. "/>
    <w:docVar w:name="dvOriginalBody" w:val="Senate"/>
    <w:docVar w:name="dvSteno" w:val="NBD"/>
    <w:docVar w:name="NameofBody" w:val="s"/>
    <w:docVar w:name="vGroup2" w:val="Council"/>
  </w:docVars>
  <w:rsids>
    <w:rsidRoot w:val="00411BEF"/>
    <w:rsid w:val="00002290"/>
    <w:rsid w:val="00016375"/>
    <w:rsid w:val="000263D9"/>
    <w:rsid w:val="00026C9A"/>
    <w:rsid w:val="00092EE8"/>
    <w:rsid w:val="000965A1"/>
    <w:rsid w:val="000C487D"/>
    <w:rsid w:val="000E1785"/>
    <w:rsid w:val="000F39F2"/>
    <w:rsid w:val="001023A4"/>
    <w:rsid w:val="0010776B"/>
    <w:rsid w:val="00133E66"/>
    <w:rsid w:val="00134ACF"/>
    <w:rsid w:val="00144E15"/>
    <w:rsid w:val="001A4A62"/>
    <w:rsid w:val="001A681E"/>
    <w:rsid w:val="001D08F2"/>
    <w:rsid w:val="001E0E68"/>
    <w:rsid w:val="002037CA"/>
    <w:rsid w:val="002047A2"/>
    <w:rsid w:val="002321B6"/>
    <w:rsid w:val="0023696B"/>
    <w:rsid w:val="00250967"/>
    <w:rsid w:val="002759C5"/>
    <w:rsid w:val="00277DEE"/>
    <w:rsid w:val="00280D88"/>
    <w:rsid w:val="00294ABE"/>
    <w:rsid w:val="002A3EB4"/>
    <w:rsid w:val="002E3EA7"/>
    <w:rsid w:val="00325348"/>
    <w:rsid w:val="0037397C"/>
    <w:rsid w:val="00393688"/>
    <w:rsid w:val="003A29C0"/>
    <w:rsid w:val="003A7411"/>
    <w:rsid w:val="003B0C8A"/>
    <w:rsid w:val="003D2100"/>
    <w:rsid w:val="003D411E"/>
    <w:rsid w:val="003E3C1E"/>
    <w:rsid w:val="003E6148"/>
    <w:rsid w:val="003E7D04"/>
    <w:rsid w:val="00400EAA"/>
    <w:rsid w:val="00411BEF"/>
    <w:rsid w:val="0041760A"/>
    <w:rsid w:val="004203D7"/>
    <w:rsid w:val="004643D3"/>
    <w:rsid w:val="004809EE"/>
    <w:rsid w:val="004839B3"/>
    <w:rsid w:val="004B2A8B"/>
    <w:rsid w:val="00511EE9"/>
    <w:rsid w:val="00521E00"/>
    <w:rsid w:val="00577C6C"/>
    <w:rsid w:val="0058501B"/>
    <w:rsid w:val="005C29FC"/>
    <w:rsid w:val="005C5AC4"/>
    <w:rsid w:val="005E2E48"/>
    <w:rsid w:val="00601A25"/>
    <w:rsid w:val="0061228A"/>
    <w:rsid w:val="006215AA"/>
    <w:rsid w:val="006340D9"/>
    <w:rsid w:val="00643B8E"/>
    <w:rsid w:val="00653ECC"/>
    <w:rsid w:val="00665EBC"/>
    <w:rsid w:val="00680479"/>
    <w:rsid w:val="00682C9F"/>
    <w:rsid w:val="0069470D"/>
    <w:rsid w:val="006A476C"/>
    <w:rsid w:val="006C6A93"/>
    <w:rsid w:val="006E02F9"/>
    <w:rsid w:val="006F3F76"/>
    <w:rsid w:val="00730E84"/>
    <w:rsid w:val="00753C04"/>
    <w:rsid w:val="00756946"/>
    <w:rsid w:val="00757F80"/>
    <w:rsid w:val="00771EEC"/>
    <w:rsid w:val="00786819"/>
    <w:rsid w:val="007A325A"/>
    <w:rsid w:val="007C3099"/>
    <w:rsid w:val="007E72BE"/>
    <w:rsid w:val="007F1523"/>
    <w:rsid w:val="007F509E"/>
    <w:rsid w:val="007F5799"/>
    <w:rsid w:val="007F5BB3"/>
    <w:rsid w:val="007F6947"/>
    <w:rsid w:val="00834A12"/>
    <w:rsid w:val="00840E59"/>
    <w:rsid w:val="00844793"/>
    <w:rsid w:val="00866927"/>
    <w:rsid w:val="00872729"/>
    <w:rsid w:val="0087640A"/>
    <w:rsid w:val="008D10EF"/>
    <w:rsid w:val="008F4429"/>
    <w:rsid w:val="00902842"/>
    <w:rsid w:val="00932670"/>
    <w:rsid w:val="009352BB"/>
    <w:rsid w:val="009610F5"/>
    <w:rsid w:val="00990668"/>
    <w:rsid w:val="009B397B"/>
    <w:rsid w:val="009F0C77"/>
    <w:rsid w:val="009F4DD1"/>
    <w:rsid w:val="00A20AC2"/>
    <w:rsid w:val="00A222D7"/>
    <w:rsid w:val="00A64E80"/>
    <w:rsid w:val="00A741D9"/>
    <w:rsid w:val="00A85589"/>
    <w:rsid w:val="00A958AE"/>
    <w:rsid w:val="00A9741D"/>
    <w:rsid w:val="00AB0576"/>
    <w:rsid w:val="00AD4B17"/>
    <w:rsid w:val="00B01773"/>
    <w:rsid w:val="00B26FA6"/>
    <w:rsid w:val="00B330C6"/>
    <w:rsid w:val="00B741CB"/>
    <w:rsid w:val="00B87AF8"/>
    <w:rsid w:val="00B934F3"/>
    <w:rsid w:val="00BB6347"/>
    <w:rsid w:val="00BD074A"/>
    <w:rsid w:val="00BD2134"/>
    <w:rsid w:val="00C038D8"/>
    <w:rsid w:val="00C045DD"/>
    <w:rsid w:val="00C3136F"/>
    <w:rsid w:val="00C3483A"/>
    <w:rsid w:val="00C55043"/>
    <w:rsid w:val="00C74E9D"/>
    <w:rsid w:val="00C82FD3"/>
    <w:rsid w:val="00CC6B7B"/>
    <w:rsid w:val="00CD3619"/>
    <w:rsid w:val="00CF4447"/>
    <w:rsid w:val="00D02BF3"/>
    <w:rsid w:val="00D239F9"/>
    <w:rsid w:val="00D24C61"/>
    <w:rsid w:val="00D405E7"/>
    <w:rsid w:val="00D40DD2"/>
    <w:rsid w:val="00D41D56"/>
    <w:rsid w:val="00D46869"/>
    <w:rsid w:val="00D6260D"/>
    <w:rsid w:val="00D6662B"/>
    <w:rsid w:val="00D95E2F"/>
    <w:rsid w:val="00D970A9"/>
    <w:rsid w:val="00DB3AC0"/>
    <w:rsid w:val="00DC6813"/>
    <w:rsid w:val="00DE68F0"/>
    <w:rsid w:val="00DF3845"/>
    <w:rsid w:val="00DF7E17"/>
    <w:rsid w:val="00E37734"/>
    <w:rsid w:val="00E94708"/>
    <w:rsid w:val="00EA5693"/>
    <w:rsid w:val="00EB00A2"/>
    <w:rsid w:val="00EB1BF3"/>
    <w:rsid w:val="00EF3EEE"/>
    <w:rsid w:val="00F149A7"/>
    <w:rsid w:val="00F370DF"/>
    <w:rsid w:val="00F50BAF"/>
    <w:rsid w:val="00F52C10"/>
    <w:rsid w:val="00F81FFD"/>
    <w:rsid w:val="00F85228"/>
    <w:rsid w:val="00F907F7"/>
    <w:rsid w:val="00FB6773"/>
    <w:rsid w:val="00FC705D"/>
    <w:rsid w:val="00FE2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312E63-A88F-4A89-A264-5F27BBC9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C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666F9-8B17-4B0B-BDC6-3B9ADA65E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13</Pages>
  <Words>3702</Words>
  <Characters>19290</Characters>
  <Application>Microsoft Office Word</Application>
  <DocSecurity>0</DocSecurity>
  <Lines>486</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 Text of Previous Version (Jan. 24, 2019) - South Carolina Legislature Online</dc:title>
  <dc:subject/>
  <dc:creator>Niki Downey</dc:creator>
  <cp:keywords/>
  <dc:description/>
  <cp:lastModifiedBy>Lavarres Lynch</cp:lastModifiedBy>
  <cp:revision>2</cp:revision>
  <cp:lastPrinted>2019-01-09T15:02:00Z</cp:lastPrinted>
  <dcterms:created xsi:type="dcterms:W3CDTF">2019-01-24T20:13:00Z</dcterms:created>
  <dcterms:modified xsi:type="dcterms:W3CDTF">2019-01-24T20:13:00Z</dcterms:modified>
</cp:coreProperties>
</file>