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Pr="00CF402E" w:rsidRDefault="00CF402E" w:rsidP="00CF402E">
      <w:pPr>
        <w:tabs>
          <w:tab w:val="right" w:pos="5933"/>
        </w:tabs>
        <w:suppressAutoHyphens/>
        <w:jc w:val="both"/>
        <w:rPr>
          <w:rFonts w:eastAsia="Times New Roman"/>
        </w:rPr>
      </w:pPr>
      <w:r>
        <w:rPr>
          <w:rFonts w:eastAsia="Times New Roman"/>
        </w:rPr>
        <w:tab/>
      </w:r>
      <w:r>
        <w:rPr>
          <w:rFonts w:eastAsia="Times New Roman"/>
          <w:b/>
          <w:sz w:val="36"/>
        </w:rPr>
        <w:t>S. 394</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207A">
        <w:t>Senators Talley and Climer</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4/11/19--S.</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394) </w:t>
      </w:r>
      <w:r w:rsidRPr="00CF402E">
        <w:rPr>
          <w:rFonts w:eastAsia="Times New Roman"/>
          <w:color w:val="000000" w:themeColor="text1"/>
          <w:u w:color="000000" w:themeColor="text1"/>
        </w:rPr>
        <w:t>to amend Chapter 17, Title 39 of the 1976 Code, relating to containers and grades, by adding Article 7, to provide that any regulation regarding the use, disposition</w:t>
      </w:r>
      <w:r>
        <w:rPr>
          <w:rFonts w:eastAsia="Times New Roman"/>
        </w:rPr>
        <w:t>, etc., respectfully</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402E">
        <w:rPr>
          <w:rFonts w:eastAsia="Times New Roman"/>
          <w:b/>
          <w:szCs w:val="20"/>
        </w:rPr>
        <w:t>Explanation of Fiscal Impact</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402E">
        <w:rPr>
          <w:rFonts w:eastAsia="Times New Roman"/>
          <w:b/>
          <w:szCs w:val="20"/>
        </w:rPr>
        <w:t xml:space="preserve">Introduced on January 22, 2019 </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F402E">
        <w:rPr>
          <w:rFonts w:eastAsia="Times New Roman"/>
          <w:b/>
          <w:bCs/>
          <w:szCs w:val="20"/>
        </w:rPr>
        <w:t>Local Expenditure</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 xml:space="preserve">This bill requires that any regulation regarding the use, disposition, sale, or imposition of any prohibition, restriction, fee imposition, or taxation of auxiliary containers must be done only by the General Assembly.  This bill supersedes and preempts any county or municipality ordinance that regulates the use, disposition, sale, or imposition of any prohibition, restriction, fee imposition, or taxation of auxiliary containers.  The provisions of this bill do not apply to the use of auxiliary containers within the boundaries of state parks, coastal tidelands, wetlands, or on a public beach, river, or other body of water maintained by a county or municipality.  Based on our research, we found that at least one county and ten municipalities impose some type of ban on auxiliary containers.  These include Beaufort County and the municipalities of Charleston, Isle of Palms, Mount Pleasant, Hilton Head Island, </w:t>
      </w:r>
      <w:r w:rsidRPr="00CF402E">
        <w:rPr>
          <w:rFonts w:cstheme="minorBidi"/>
        </w:rPr>
        <w:lastRenderedPageBreak/>
        <w:t xml:space="preserve">Bluffton, Port Royal, Beaufort, Surfside Beach, Folly Beach, and Arcadia Lakes. </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 xml:space="preserve">The Revenue and Fiscal Affairs Office contacted forty-six counties and the Municipal Association of South Carolina (MASC) regarding the expenditure impact of this bill.  Fifteen counties and two municipalities responded.  Charleston, Cherokee, Clarendon, Dillion, Florence, Georgetown, Greenville, Horry, Lee, Lancaster, McCormick, Lexington, Marion, and Oconee counties all indicated there will be no expenditure impact since they do not have auxiliary container ban ordinances.  Beaufort County indicates that they adopted a ban of single-use plastic bags on January 22, 2018.  The county suggests that a repeal of this ordinance will encourage the use of these plastic bags, which would increase the amount of litter.  The county did not estimate the additional cost from the increased amount of litter.  The municipalities of Mount Pleasant and Folly Beach report that they ban the use of auxiliary containers and the repeal of the local ordinance may result in additional litter.  Folly Beach estimates that personnel and other operating costs to pick up the additional litter from the beach during the summer would increase expenditures by $158,600 per year.  </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Based on these responses, we expect that this bill will have no expenditure impact on the counties and municipalities that currently do not regulate auxiliary containers.  Except for Folly Beach, the counties and municipalities that currently regulate auxiliary containers did not estimate the amount of additional expenditures required from this bill.  Therefore, due to the limited data available from local governments that currently regulate auxiliary containers, our office is unable to determine the expenditure impact of this bill on counties and municipalities.</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402E">
        <w:rPr>
          <w:rFonts w:eastAsia="Times New Roman"/>
          <w:b/>
          <w:szCs w:val="20"/>
        </w:rPr>
        <w:t>Local Revenue</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A county or municipality may elect to impose a fine of up to $1,000 for violation of an ordinance pertaining to the use of auxiliary containers within the exempted properties listed below:</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r w:rsidRPr="00CF402E">
        <w:rPr>
          <w:rFonts w:cstheme="minorBidi"/>
        </w:rPr>
        <w:tab/>
        <w:t>a state, county, or municipal park</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r w:rsidRPr="00CF402E">
        <w:rPr>
          <w:rFonts w:cstheme="minorBidi"/>
        </w:rPr>
        <w:tab/>
        <w:t>a property owned by the county or municipality, including, but not limited to, coastal tidelands, wetlands</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r w:rsidRPr="00CF402E">
        <w:rPr>
          <w:rFonts w:cstheme="minorBidi"/>
        </w:rPr>
        <w:tab/>
        <w:t>a public beach, river, or other body of water maintained by a county or municipality.</w:t>
      </w: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p>
    <w:p w:rsidR="00CF402E" w:rsidRPr="00CF402E" w:rsidRDefault="00CF402E"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 xml:space="preserve">Since this bill allows a county or municipality to elect to impose a fine of up to $1,000 for a violation of a local ordinance pertaining </w:t>
      </w:r>
      <w:r w:rsidRPr="00CF402E">
        <w:rPr>
          <w:rFonts w:cstheme="minorBidi"/>
        </w:rPr>
        <w:lastRenderedPageBreak/>
        <w:t>to the use of auxiliary containers within the exempted properties listed above, our office is unable to determine the expenditure impact of this bill on county and municipal governments.</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F402E" w:rsidRP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02E" w:rsidRDefault="00CF4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402E" w:rsidSect="00CF40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62E5" w:rsidRPr="00522CE0" w:rsidRDefault="00AA62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1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94C17">
        <w:rPr>
          <w:rFonts w:eastAsia="Times New Roman"/>
          <w:color w:val="000000" w:themeColor="text1"/>
          <w:u w:color="000000" w:themeColor="text1"/>
        </w:rPr>
        <w:t xml:space="preserve">TO AMEND </w:t>
      </w:r>
      <w:r w:rsidR="00B64176">
        <w:rPr>
          <w:rFonts w:eastAsia="Times New Roman"/>
          <w:color w:val="000000" w:themeColor="text1"/>
          <w:u w:color="000000" w:themeColor="text1"/>
        </w:rPr>
        <w:t xml:space="preserve">CHAPTER 17, </w:t>
      </w:r>
      <w:r w:rsidR="00794C17" w:rsidRPr="00794C17">
        <w:rPr>
          <w:rFonts w:eastAsia="Times New Roman"/>
          <w:color w:val="000000" w:themeColor="text1"/>
          <w:u w:color="000000" w:themeColor="text1"/>
        </w:rPr>
        <w:t>TITLE 39</w:t>
      </w:r>
      <w:r w:rsidR="00794C17">
        <w:rPr>
          <w:rFonts w:eastAsia="Times New Roman"/>
          <w:color w:val="000000" w:themeColor="text1"/>
          <w:u w:color="000000" w:themeColor="text1"/>
        </w:rPr>
        <w:t xml:space="preserve"> </w:t>
      </w:r>
      <w:r w:rsidR="00794C17" w:rsidRPr="00794C17">
        <w:rPr>
          <w:rFonts w:eastAsia="Times New Roman"/>
          <w:color w:val="000000" w:themeColor="text1"/>
          <w:u w:color="000000" w:themeColor="text1"/>
        </w:rPr>
        <w:t xml:space="preserve">OF THE 1976 CODE, RELATING TO </w:t>
      </w:r>
      <w:r w:rsidR="00B64176">
        <w:rPr>
          <w:rFonts w:eastAsia="Times New Roman"/>
          <w:color w:val="000000" w:themeColor="text1"/>
          <w:u w:color="000000" w:themeColor="text1"/>
        </w:rPr>
        <w:t>CONTAINERS AND GRADES</w:t>
      </w:r>
      <w:r w:rsidR="00794C17">
        <w:rPr>
          <w:rFonts w:eastAsia="Times New Roman"/>
          <w:color w:val="000000" w:themeColor="text1"/>
          <w:u w:color="000000" w:themeColor="text1"/>
        </w:rPr>
        <w:t>,</w:t>
      </w:r>
      <w:r w:rsidR="00794C17" w:rsidRPr="00794C17">
        <w:rPr>
          <w:rFonts w:eastAsia="Times New Roman"/>
          <w:color w:val="000000" w:themeColor="text1"/>
          <w:u w:color="000000" w:themeColor="text1"/>
        </w:rPr>
        <w:t xml:space="preserve"> </w:t>
      </w:r>
      <w:r w:rsidRPr="00794C17">
        <w:rPr>
          <w:rFonts w:eastAsia="Times New Roman"/>
          <w:color w:val="000000" w:themeColor="text1"/>
          <w:u w:color="000000" w:themeColor="text1"/>
        </w:rPr>
        <w:t xml:space="preserve">BY ADDING </w:t>
      </w:r>
      <w:r w:rsidR="00B64176">
        <w:rPr>
          <w:rFonts w:eastAsia="Times New Roman"/>
          <w:color w:val="000000" w:themeColor="text1"/>
          <w:u w:color="000000" w:themeColor="text1"/>
        </w:rPr>
        <w:t>ARTICLE</w:t>
      </w:r>
      <w:r w:rsidRPr="00794C17">
        <w:rPr>
          <w:rFonts w:eastAsia="Times New Roman"/>
          <w:color w:val="000000" w:themeColor="text1"/>
          <w:u w:color="000000" w:themeColor="text1"/>
        </w:rPr>
        <w:t xml:space="preserve"> 7</w:t>
      </w:r>
      <w:r w:rsidR="00794C17">
        <w:rPr>
          <w:rFonts w:eastAsia="Times New Roman"/>
          <w:color w:val="000000" w:themeColor="text1"/>
          <w:u w:color="000000" w:themeColor="text1"/>
        </w:rPr>
        <w:t xml:space="preserve">, </w:t>
      </w:r>
      <w:r w:rsidRPr="00794C17">
        <w:rPr>
          <w:rFonts w:eastAsia="Times New Roman"/>
          <w:color w:val="000000" w:themeColor="text1"/>
          <w:u w:color="000000" w:themeColor="text1"/>
        </w:rPr>
        <w:t>TO PROVIDE THAT ANY REGULATION REGARDING THE USE, DISPOSITION, SALE, OR IMPOSITION OF ANY PROHIBITION, RESTRICTION, FEE IMPOSITION, OR TAXATION OF AUXILIARY CONTAINERS MUST BE DONE BY THE GENERAL ASSEMBLY, TO PROVIDE FOR EXCEPTIONS</w:t>
      </w:r>
      <w:r w:rsidR="00794C17">
        <w:rPr>
          <w:rFonts w:eastAsia="Times New Roman"/>
          <w:color w:val="000000" w:themeColor="text1"/>
          <w:u w:color="000000" w:themeColor="text1"/>
        </w:rPr>
        <w:t>, AND TO DEFINE NECESSARY TERMS</w:t>
      </w:r>
      <w:r w:rsidRPr="00794C17">
        <w:rPr>
          <w:rFonts w:eastAsia="Times New Roman"/>
          <w:color w:val="000000" w:themeColor="text1"/>
          <w:u w:color="000000" w:themeColor="text1"/>
        </w:rPr>
        <w:t>.</w:t>
      </w:r>
      <w:bookmarkEnd w:id="1"/>
    </w:p>
    <w:p w:rsidR="00522CE0" w:rsidRPr="00794C17"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4C17">
        <w:rPr>
          <w:rFonts w:eastAsia="Times New Roman"/>
        </w:rPr>
        <w:t>Be it enacted by the General Assembly of the State of South Carolina:</w:t>
      </w:r>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694" w:rsidRPr="00794C17" w:rsidRDefault="00A81DA3"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rPr>
        <w:t>SECTION</w:t>
      </w:r>
      <w:r w:rsidRPr="00794C17">
        <w:rPr>
          <w:rFonts w:eastAsia="Times New Roman"/>
        </w:rPr>
        <w:tab/>
        <w:t>1.</w:t>
      </w:r>
      <w:r w:rsidRPr="00794C17">
        <w:rPr>
          <w:rFonts w:eastAsia="Times New Roman"/>
        </w:rPr>
        <w:tab/>
      </w:r>
      <w:r w:rsidR="00412694" w:rsidRPr="00794C17">
        <w:rPr>
          <w:rFonts w:eastAsia="Times New Roman"/>
          <w:color w:val="000000" w:themeColor="text1"/>
          <w:u w:color="000000" w:themeColor="text1"/>
        </w:rPr>
        <w:t>The General Assembly finds that:</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00794C17">
        <w:rPr>
          <w:rFonts w:eastAsia="Times New Roman"/>
          <w:color w:val="000000" w:themeColor="text1"/>
          <w:u w:color="000000" w:themeColor="text1"/>
        </w:rPr>
        <w:tab/>
      </w:r>
      <w:r w:rsidRPr="00794C17">
        <w:rPr>
          <w:rFonts w:eastAsia="Times New Roman"/>
          <w:color w:val="000000" w:themeColor="text1"/>
          <w:u w:color="000000" w:themeColor="text1"/>
        </w:rPr>
        <w:t>(1)</w:t>
      </w:r>
      <w:r w:rsidRPr="00794C17">
        <w:rPr>
          <w:rFonts w:eastAsia="Times New Roman"/>
          <w:color w:val="000000" w:themeColor="text1"/>
          <w:u w:color="000000" w:themeColor="text1"/>
        </w:rPr>
        <w:tab/>
        <w:t xml:space="preserve">prudent regulation of auxiliary containers is crucial to the welfare of the </w:t>
      </w:r>
      <w:r w:rsidR="00B64176">
        <w:rPr>
          <w:rFonts w:eastAsia="Times New Roman"/>
          <w:color w:val="000000" w:themeColor="text1"/>
          <w:u w:color="000000" w:themeColor="text1"/>
        </w:rPr>
        <w:t>S</w:t>
      </w:r>
      <w:r w:rsidRPr="00794C17">
        <w:rPr>
          <w:rFonts w:eastAsia="Times New Roman"/>
          <w:color w:val="000000" w:themeColor="text1"/>
          <w:u w:color="000000" w:themeColor="text1"/>
        </w:rPr>
        <w:t>tate’s economy;</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00794C17">
        <w:rPr>
          <w:rFonts w:eastAsia="Times New Roman"/>
          <w:color w:val="000000" w:themeColor="text1"/>
          <w:u w:color="000000" w:themeColor="text1"/>
        </w:rPr>
        <w:tab/>
      </w:r>
      <w:r w:rsidRPr="00794C17">
        <w:rPr>
          <w:rFonts w:eastAsia="Times New Roman"/>
          <w:color w:val="000000" w:themeColor="text1"/>
          <w:u w:color="000000" w:themeColor="text1"/>
        </w:rPr>
        <w:t>(2)</w:t>
      </w:r>
      <w:r w:rsidRPr="00794C17">
        <w:rPr>
          <w:rFonts w:eastAsia="Times New Roman"/>
          <w:color w:val="000000" w:themeColor="text1"/>
          <w:u w:color="000000" w:themeColor="text1"/>
        </w:rPr>
        <w:tab/>
        <w:t>retail and food establishments are sensitive to the costs and regulation of auxiliary containers; and</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00794C17">
        <w:rPr>
          <w:rFonts w:eastAsia="Times New Roman"/>
          <w:color w:val="000000" w:themeColor="text1"/>
          <w:u w:color="000000" w:themeColor="text1"/>
        </w:rPr>
        <w:tab/>
      </w:r>
      <w:r w:rsidRPr="00794C17">
        <w:rPr>
          <w:rFonts w:eastAsia="Times New Roman"/>
          <w:color w:val="000000" w:themeColor="text1"/>
          <w:u w:color="000000" w:themeColor="text1"/>
        </w:rPr>
        <w:t>(3)</w:t>
      </w:r>
      <w:r w:rsidRPr="00794C17">
        <w:rPr>
          <w:rFonts w:eastAsia="Times New Roman"/>
          <w:color w:val="000000" w:themeColor="text1"/>
          <w:u w:color="000000" w:themeColor="text1"/>
        </w:rPr>
        <w:tab/>
        <w:t>if individual political subdivisions of the State regulate auxiliary containers,</w:t>
      </w:r>
      <w:r w:rsidR="00B64176">
        <w:rPr>
          <w:rFonts w:eastAsia="Times New Roman"/>
          <w:color w:val="000000" w:themeColor="text1"/>
          <w:u w:color="000000" w:themeColor="text1"/>
        </w:rPr>
        <w:t xml:space="preserve"> then</w:t>
      </w:r>
      <w:r w:rsidRPr="00794C17">
        <w:rPr>
          <w:rFonts w:eastAsia="Times New Roman"/>
          <w:color w:val="000000" w:themeColor="text1"/>
          <w:u w:color="000000" w:themeColor="text1"/>
        </w:rPr>
        <w:t xml:space="preserve"> there exists the potential for varying regulations</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which could lead to unnecessary increased costs for retail and food establishments to comply with the regulations.</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SECTION</w:t>
      </w:r>
      <w:r w:rsidRPr="00794C17">
        <w:rPr>
          <w:rFonts w:eastAsia="Times New Roman"/>
          <w:color w:val="000000" w:themeColor="text1"/>
          <w:u w:color="000000" w:themeColor="text1"/>
        </w:rPr>
        <w:tab/>
        <w:t>2.</w:t>
      </w:r>
      <w:r w:rsidRPr="00794C17">
        <w:rPr>
          <w:rFonts w:eastAsia="Times New Roman"/>
          <w:color w:val="000000" w:themeColor="text1"/>
          <w:u w:color="000000" w:themeColor="text1"/>
        </w:rPr>
        <w:tab/>
      </w:r>
      <w:r w:rsidR="00B64176">
        <w:rPr>
          <w:rFonts w:eastAsia="Times New Roman"/>
          <w:color w:val="000000" w:themeColor="text1"/>
          <w:u w:color="000000" w:themeColor="text1"/>
        </w:rPr>
        <w:t xml:space="preserve">Chapter 17, </w:t>
      </w:r>
      <w:r w:rsidRPr="00794C17">
        <w:rPr>
          <w:rFonts w:eastAsia="Times New Roman"/>
          <w:color w:val="000000" w:themeColor="text1"/>
          <w:u w:color="000000" w:themeColor="text1"/>
        </w:rPr>
        <w:t>Title 39 of the 1976 Code is amended by adding:</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94C17">
        <w:rPr>
          <w:rFonts w:eastAsia="Times New Roman"/>
          <w:color w:val="000000" w:themeColor="text1"/>
          <w:u w:color="000000" w:themeColor="text1"/>
        </w:rPr>
        <w:t>“</w:t>
      </w:r>
      <w:r w:rsidR="00B64176">
        <w:rPr>
          <w:rFonts w:eastAsia="Times New Roman"/>
          <w:color w:val="000000" w:themeColor="text1"/>
          <w:u w:color="000000" w:themeColor="text1"/>
        </w:rPr>
        <w:t>ARTICLE</w:t>
      </w:r>
      <w:r w:rsidRPr="00794C17">
        <w:rPr>
          <w:rFonts w:eastAsia="Times New Roman"/>
          <w:color w:val="000000" w:themeColor="text1"/>
          <w:u w:color="000000" w:themeColor="text1"/>
        </w:rPr>
        <w:t xml:space="preserve"> 7</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94C17">
        <w:rPr>
          <w:rFonts w:eastAsia="Times New Roman"/>
          <w:color w:val="000000" w:themeColor="text1"/>
          <w:u w:color="000000" w:themeColor="text1"/>
        </w:rPr>
        <w:t>Auxiliary Containers</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2694" w:rsidRPr="00794C17" w:rsidRDefault="00B64176"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Section 39</w:t>
      </w:r>
      <w:r w:rsidR="00635ECF">
        <w:rPr>
          <w:rFonts w:eastAsia="Times New Roman"/>
          <w:color w:val="000000" w:themeColor="text1"/>
          <w:u w:color="000000" w:themeColor="text1"/>
        </w:rPr>
        <w:noBreakHyphen/>
      </w:r>
      <w:r>
        <w:rPr>
          <w:rFonts w:eastAsia="Times New Roman"/>
          <w:color w:val="000000" w:themeColor="text1"/>
          <w:u w:color="000000" w:themeColor="text1"/>
        </w:rPr>
        <w:t>1</w:t>
      </w:r>
      <w:r w:rsidR="00412694" w:rsidRPr="00794C17">
        <w:rPr>
          <w:rFonts w:eastAsia="Times New Roman"/>
          <w:color w:val="000000" w:themeColor="text1"/>
          <w:u w:color="000000" w:themeColor="text1"/>
        </w:rPr>
        <w:t>7</w:t>
      </w:r>
      <w:r w:rsidR="00635ECF">
        <w:rPr>
          <w:rFonts w:eastAsia="Times New Roman"/>
          <w:color w:val="000000" w:themeColor="text1"/>
          <w:u w:color="000000" w:themeColor="text1"/>
        </w:rPr>
        <w:noBreakHyphen/>
      </w:r>
      <w:r>
        <w:rPr>
          <w:rFonts w:eastAsia="Times New Roman"/>
          <w:color w:val="000000" w:themeColor="text1"/>
          <w:u w:color="000000" w:themeColor="text1"/>
        </w:rPr>
        <w:t>7</w:t>
      </w:r>
      <w:r w:rsidR="00412694" w:rsidRPr="00794C17">
        <w:rPr>
          <w:rFonts w:eastAsia="Times New Roman"/>
          <w:color w:val="000000" w:themeColor="text1"/>
          <w:u w:color="000000" w:themeColor="text1"/>
        </w:rPr>
        <w:t>10.</w:t>
      </w:r>
      <w:r w:rsidR="00412694" w:rsidRPr="00794C17">
        <w:rPr>
          <w:rFonts w:eastAsia="Times New Roman"/>
          <w:color w:val="000000" w:themeColor="text1"/>
          <w:u w:color="000000" w:themeColor="text1"/>
        </w:rPr>
        <w:tab/>
        <w:t xml:space="preserve">As used in this </w:t>
      </w:r>
      <w:r>
        <w:rPr>
          <w:rFonts w:eastAsia="Times New Roman"/>
          <w:color w:val="000000" w:themeColor="text1"/>
          <w:u w:color="000000" w:themeColor="text1"/>
        </w:rPr>
        <w:t>article</w:t>
      </w:r>
      <w:r w:rsidR="00412694" w:rsidRPr="00794C17">
        <w:rPr>
          <w:rFonts w:eastAsia="Times New Roman"/>
          <w:color w:val="000000" w:themeColor="text1"/>
          <w:u w:color="000000" w:themeColor="text1"/>
        </w:rPr>
        <w:t>, ‘auxiliary container’ means a bag, cup, package, device, container, bottle, or other packaging that is:</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(1)</w:t>
      </w:r>
      <w:r w:rsidRPr="00794C17">
        <w:rPr>
          <w:rFonts w:eastAsia="Times New Roman"/>
          <w:color w:val="000000" w:themeColor="text1"/>
          <w:u w:color="000000" w:themeColor="text1"/>
        </w:rPr>
        <w:tab/>
        <w:t>designed to be either reusable or single</w:t>
      </w:r>
      <w:r w:rsidR="00635ECF">
        <w:rPr>
          <w:rFonts w:eastAsia="Times New Roman"/>
          <w:color w:val="000000" w:themeColor="text1"/>
          <w:u w:color="000000" w:themeColor="text1"/>
        </w:rPr>
        <w:noBreakHyphen/>
      </w:r>
      <w:r w:rsidRPr="00794C17">
        <w:rPr>
          <w:rFonts w:eastAsia="Times New Roman"/>
          <w:color w:val="000000" w:themeColor="text1"/>
          <w:u w:color="000000" w:themeColor="text1"/>
        </w:rPr>
        <w:t>use;</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(2)</w:t>
      </w:r>
      <w:r w:rsidRPr="00794C17">
        <w:rPr>
          <w:rFonts w:eastAsia="Times New Roman"/>
          <w:color w:val="000000" w:themeColor="text1"/>
          <w:u w:color="000000" w:themeColor="text1"/>
        </w:rPr>
        <w:tab/>
        <w:t>made of cloth</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paper</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plastic, including foamed or expanded plastic</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cardboard</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expanded polystyrene</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corrugated material</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aluminum</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glass</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w:t>
      </w:r>
      <w:r w:rsidR="00B64176">
        <w:rPr>
          <w:rFonts w:eastAsia="Times New Roman"/>
          <w:color w:val="000000" w:themeColor="text1"/>
          <w:u w:color="000000" w:themeColor="text1"/>
        </w:rPr>
        <w:t xml:space="preserve">or </w:t>
      </w:r>
      <w:r w:rsidRPr="00794C17">
        <w:rPr>
          <w:rFonts w:eastAsia="Times New Roman"/>
          <w:color w:val="000000" w:themeColor="text1"/>
          <w:u w:color="000000" w:themeColor="text1"/>
        </w:rPr>
        <w:t>postconsumer recycled, or similar</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material or substrates, including coated, laminated, or multilayer substrates;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(3)</w:t>
      </w:r>
      <w:r w:rsidRPr="00794C17">
        <w:rPr>
          <w:rFonts w:eastAsia="Times New Roman"/>
          <w:color w:val="000000" w:themeColor="text1"/>
          <w:u w:color="000000" w:themeColor="text1"/>
        </w:rPr>
        <w:tab/>
        <w:t>designed for, but not limited to, consuming, transporting, or protecting merchandise, food, or beverages from or at a food service or retail facility.</w:t>
      </w:r>
    </w:p>
    <w:p w:rsidR="00794C17" w:rsidRPr="00794C17" w:rsidRDefault="00794C17"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694" w:rsidRPr="00794C17" w:rsidRDefault="00B64176"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39</w:t>
      </w:r>
      <w:r w:rsidR="00635ECF">
        <w:rPr>
          <w:rFonts w:eastAsia="Times New Roman"/>
          <w:color w:val="000000" w:themeColor="text1"/>
          <w:u w:color="000000" w:themeColor="text1"/>
        </w:rPr>
        <w:noBreakHyphen/>
      </w:r>
      <w:r>
        <w:rPr>
          <w:rFonts w:eastAsia="Times New Roman"/>
          <w:color w:val="000000" w:themeColor="text1"/>
          <w:u w:color="000000" w:themeColor="text1"/>
        </w:rPr>
        <w:t>1</w:t>
      </w:r>
      <w:r w:rsidR="00412694" w:rsidRPr="00794C17">
        <w:rPr>
          <w:rFonts w:eastAsia="Times New Roman"/>
          <w:color w:val="000000" w:themeColor="text1"/>
          <w:u w:color="000000" w:themeColor="text1"/>
        </w:rPr>
        <w:t>7</w:t>
      </w:r>
      <w:r w:rsidR="00635ECF">
        <w:rPr>
          <w:rFonts w:eastAsia="Times New Roman"/>
          <w:color w:val="000000" w:themeColor="text1"/>
          <w:u w:color="000000" w:themeColor="text1"/>
        </w:rPr>
        <w:noBreakHyphen/>
      </w:r>
      <w:r>
        <w:rPr>
          <w:rFonts w:eastAsia="Times New Roman"/>
          <w:color w:val="000000" w:themeColor="text1"/>
          <w:u w:color="000000" w:themeColor="text1"/>
        </w:rPr>
        <w:t>7</w:t>
      </w:r>
      <w:r w:rsidR="00412694" w:rsidRPr="00794C17">
        <w:rPr>
          <w:rFonts w:eastAsia="Times New Roman"/>
          <w:color w:val="000000" w:themeColor="text1"/>
          <w:u w:color="000000" w:themeColor="text1"/>
        </w:rPr>
        <w:t>20.</w:t>
      </w:r>
      <w:r w:rsidR="00412694" w:rsidRPr="00794C17">
        <w:rPr>
          <w:rFonts w:eastAsia="Times New Roman"/>
          <w:color w:val="000000" w:themeColor="text1"/>
          <w:u w:color="000000" w:themeColor="text1"/>
        </w:rPr>
        <w:tab/>
        <w:t>(A)</w:t>
      </w:r>
      <w:r w:rsidR="00412694" w:rsidRPr="00794C17">
        <w:rPr>
          <w:rFonts w:eastAsia="Times New Roman"/>
          <w:color w:val="000000" w:themeColor="text1"/>
          <w:u w:color="000000" w:themeColor="text1"/>
        </w:rPr>
        <w:tab/>
        <w:t xml:space="preserve">Any regulation regarding the use, disposition, sale, or imposition of any prohibition, restriction, fee imposition, or taxation of auxiliary containers must be done only by the General Assembly. This </w:t>
      </w:r>
      <w:r>
        <w:rPr>
          <w:rFonts w:eastAsia="Times New Roman"/>
          <w:color w:val="000000" w:themeColor="text1"/>
          <w:u w:color="000000" w:themeColor="text1"/>
        </w:rPr>
        <w:t>article</w:t>
      </w:r>
      <w:r w:rsidR="00412694" w:rsidRPr="00794C17">
        <w:rPr>
          <w:rFonts w:eastAsia="Times New Roman"/>
          <w:color w:val="000000" w:themeColor="text1"/>
          <w:u w:color="000000" w:themeColor="text1"/>
        </w:rPr>
        <w:t xml:space="preserve"> supersedes and preempts any ordinance enacted by a political subdivision that purports to regulate the use, disposition, sale, or imposition of any prohibition, restriction, fee imposition, or taxation of auxiliary containers at the retail, manufacturer, or distributor level.</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t>(B)</w:t>
      </w:r>
      <w:r w:rsidRPr="00794C17">
        <w:rPr>
          <w:rFonts w:eastAsia="Times New Roman"/>
          <w:color w:val="000000" w:themeColor="text1"/>
          <w:u w:color="000000" w:themeColor="text1"/>
        </w:rPr>
        <w:tab/>
        <w:t xml:space="preserve">Nothing in this </w:t>
      </w:r>
      <w:r w:rsidR="00B64176">
        <w:rPr>
          <w:rFonts w:eastAsia="Times New Roman"/>
          <w:color w:val="000000" w:themeColor="text1"/>
          <w:u w:color="000000" w:themeColor="text1"/>
        </w:rPr>
        <w:t>article</w:t>
      </w:r>
      <w:r w:rsidRPr="00794C17">
        <w:rPr>
          <w:rFonts w:eastAsia="Times New Roman"/>
          <w:color w:val="000000" w:themeColor="text1"/>
          <w:u w:color="000000" w:themeColor="text1"/>
        </w:rPr>
        <w:t xml:space="preserve"> may be construed to prohibit or limit any county or municipal ordinance regulating solid waste, agreement pertaining to the disposal of solid waste, curbside recycling program, designated residential or commercial recycling locations, or commercial recycling program.</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t>(C)</w:t>
      </w:r>
      <w:r w:rsidRPr="00794C17">
        <w:rPr>
          <w:rFonts w:eastAsia="Times New Roman"/>
          <w:color w:val="000000" w:themeColor="text1"/>
          <w:u w:color="000000" w:themeColor="text1"/>
        </w:rPr>
        <w:tab/>
      </w:r>
      <w:r w:rsidRPr="00794C17">
        <w:rPr>
          <w:color w:val="000000" w:themeColor="text1"/>
          <w:u w:color="000000" w:themeColor="text1"/>
        </w:rPr>
        <w:t xml:space="preserve">Nothing in this </w:t>
      </w:r>
      <w:r w:rsidR="00B64176">
        <w:rPr>
          <w:color w:val="000000" w:themeColor="text1"/>
          <w:u w:color="000000" w:themeColor="text1"/>
        </w:rPr>
        <w:t>article</w:t>
      </w:r>
      <w:r w:rsidRPr="00794C17">
        <w:rPr>
          <w:color w:val="000000" w:themeColor="text1"/>
          <w:u w:color="000000" w:themeColor="text1"/>
        </w:rPr>
        <w:t xml:space="preserve"> may be construed as applying to the use of auxiliary containers within the boundaries of a state, county, or municipal park; on a property owned by a county or municipality, including, but not limited to, coastal tidelands and wetlands; or on a public beach, river, or other body of water maintained by a county or municipality. A county or municipality that elects to enact an ordinance pertaining to the use of auxiliary containers on the exempted properties listed herein may fine a person or business in violation of the ordinance up to one thousand dollars per violation.”</w:t>
      </w:r>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4C17">
        <w:rPr>
          <w:rFonts w:eastAsia="Times New Roman"/>
        </w:rPr>
        <w:t>SECTION</w:t>
      </w:r>
      <w:r w:rsidRPr="00794C17">
        <w:rPr>
          <w:rFonts w:eastAsia="Times New Roman"/>
        </w:rPr>
        <w:tab/>
      </w:r>
      <w:r w:rsidR="00412694" w:rsidRPr="00794C17">
        <w:rPr>
          <w:rFonts w:eastAsia="Times New Roman"/>
        </w:rPr>
        <w:t>3</w:t>
      </w:r>
      <w:r w:rsidRPr="00794C17">
        <w:rPr>
          <w:rFonts w:eastAsia="Times New Roman"/>
        </w:rPr>
        <w:t>.</w:t>
      </w:r>
      <w:r w:rsidRPr="00794C17">
        <w:rPr>
          <w:rFonts w:eastAsia="Times New Roman"/>
        </w:rPr>
        <w:tab/>
        <w:t>This act takes effect upon approval by the Governor.</w:t>
      </w:r>
    </w:p>
    <w:p w:rsidR="00363D69" w:rsidRDefault="00635E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11B8" w:rsidRDefault="00E811B8" w:rsidP="00E811B8">
      <w:pPr>
        <w:suppressAutoHyphens/>
        <w:jc w:val="both"/>
        <w:rPr>
          <w:rFonts w:eastAsia="Times New Roman"/>
        </w:rPr>
      </w:pPr>
    </w:p>
    <w:sectPr w:rsidR="00E811B8" w:rsidSect="00CF40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DA3" w:rsidRDefault="00A81DA3" w:rsidP="00522CE0">
      <w:r>
        <w:separator/>
      </w:r>
    </w:p>
  </w:endnote>
  <w:endnote w:type="continuationSeparator" w:id="0">
    <w:p w:rsidR="00A81DA3" w:rsidRDefault="00A81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2A8BBBA-2AD7-4242-9838-09CC5BE66F0C}"/>
    <w:embedBold r:id="rId2" w:fontKey="{7455243C-51C8-4914-A9B0-CD428C9E601E}"/>
  </w:font>
  <w:font w:name="Calibri">
    <w:panose1 w:val="020F0502020204030204"/>
    <w:charset w:val="00"/>
    <w:family w:val="swiss"/>
    <w:pitch w:val="variable"/>
    <w:sig w:usb0="E0002AFF" w:usb1="C000247B" w:usb2="00000009" w:usb3="00000000" w:csb0="000001FF" w:csb1="00000000"/>
    <w:embedRegular r:id="rId3" w:fontKey="{F1E51B10-37B0-4EF5-A517-F543D048B99B}"/>
  </w:font>
  <w:font w:name="Cambria">
    <w:panose1 w:val="02040503050406030204"/>
    <w:charset w:val="00"/>
    <w:family w:val="roman"/>
    <w:pitch w:val="variable"/>
    <w:sig w:usb0="E00006FF" w:usb1="420024FF" w:usb2="02000000" w:usb3="00000000" w:csb0="0000019F" w:csb1="00000000"/>
    <w:embedRegular r:id="rId4" w:fontKey="{E560ED5F-1B7F-4589-B31C-9DB0A83A9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D69" w:rsidRPr="00AA62E5" w:rsidRDefault="00AA62E5" w:rsidP="00AA62E5">
    <w:pPr>
      <w:pStyle w:val="Footer"/>
      <w:tabs>
        <w:tab w:val="clear" w:pos="4680"/>
        <w:tab w:val="clear" w:pos="9360"/>
        <w:tab w:val="center" w:pos="2995"/>
      </w:tabs>
      <w:spacing w:before="120"/>
    </w:pPr>
    <w:r>
      <w:t>[394</w:t>
    </w:r>
    <w:r w:rsidR="00CF402E">
      <w:t>-</w:t>
    </w:r>
    <w:r w:rsidR="00CF402E">
      <w:fldChar w:fldCharType="begin"/>
    </w:r>
    <w:r w:rsidR="00CF402E">
      <w:instrText xml:space="preserve"> PAGE  \* MERGEFORMAT </w:instrText>
    </w:r>
    <w:r w:rsidR="00CF402E">
      <w:fldChar w:fldCharType="separate"/>
    </w:r>
    <w:r w:rsidR="00E811B8">
      <w:rPr>
        <w:noProof/>
      </w:rPr>
      <w:t>3</w:t>
    </w:r>
    <w:r w:rsidR="00CF402E">
      <w:fldChar w:fldCharType="end"/>
    </w:r>
    <w:r w:rsidR="00CF40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02E" w:rsidRPr="00AA62E5" w:rsidRDefault="00CF402E" w:rsidP="00AA62E5">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E811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DA3" w:rsidRDefault="00A81DA3" w:rsidP="00522CE0">
      <w:r>
        <w:separator/>
      </w:r>
    </w:p>
  </w:footnote>
  <w:footnote w:type="continuationSeparator" w:id="0">
    <w:p w:rsidR="00A81DA3" w:rsidRDefault="00A81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UXI.SP.SFT"/>
    <w:docVar w:name="CoverAttorneyInitials" w:val="SP"/>
    <w:docVar w:name="CoverAttorneyLastName" w:val="Parrish"/>
    <w:docVar w:name="CoverBillType" w:val="b"/>
    <w:docVar w:name="CoverSenator" w:val="SFT"/>
    <w:docVar w:name="dvBillNumber" w:val="394"/>
    <w:docVar w:name="dvBillNumberPrefix" w:val="S. "/>
    <w:docVar w:name="dvOriginalBody" w:val="Senate"/>
    <w:docVar w:name="fulldraftpath" w:val="L:\S-RES\SFT\014AUXI.SP.SFT.DOCX"/>
    <w:docVar w:name="NameofBody" w:val="S"/>
    <w:docVar w:name="vgroup2" w:val="S-RES"/>
  </w:docVars>
  <w:rsids>
    <w:rsidRoot w:val="00A81DA3"/>
    <w:rsid w:val="00042AC1"/>
    <w:rsid w:val="00046516"/>
    <w:rsid w:val="00072458"/>
    <w:rsid w:val="0007601D"/>
    <w:rsid w:val="000B0720"/>
    <w:rsid w:val="000B5EAF"/>
    <w:rsid w:val="000D44E9"/>
    <w:rsid w:val="001315B2"/>
    <w:rsid w:val="00140B8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3D69"/>
    <w:rsid w:val="00383247"/>
    <w:rsid w:val="003D6E2B"/>
    <w:rsid w:val="003E7597"/>
    <w:rsid w:val="00412694"/>
    <w:rsid w:val="00413EBF"/>
    <w:rsid w:val="0044020F"/>
    <w:rsid w:val="00450668"/>
    <w:rsid w:val="00454138"/>
    <w:rsid w:val="004813A2"/>
    <w:rsid w:val="004952FA"/>
    <w:rsid w:val="004B6A22"/>
    <w:rsid w:val="004D7F37"/>
    <w:rsid w:val="00522CE0"/>
    <w:rsid w:val="00541951"/>
    <w:rsid w:val="00565148"/>
    <w:rsid w:val="00566E5D"/>
    <w:rsid w:val="00570403"/>
    <w:rsid w:val="00593361"/>
    <w:rsid w:val="005A413B"/>
    <w:rsid w:val="005A5017"/>
    <w:rsid w:val="005A648C"/>
    <w:rsid w:val="005F07AC"/>
    <w:rsid w:val="005F1745"/>
    <w:rsid w:val="00635ECF"/>
    <w:rsid w:val="006A1802"/>
    <w:rsid w:val="006A3CA8"/>
    <w:rsid w:val="006A7ED2"/>
    <w:rsid w:val="006C0CBB"/>
    <w:rsid w:val="006C74EA"/>
    <w:rsid w:val="006D0993"/>
    <w:rsid w:val="00720D40"/>
    <w:rsid w:val="007318D4"/>
    <w:rsid w:val="00765784"/>
    <w:rsid w:val="00794C17"/>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DA3"/>
    <w:rsid w:val="00A86015"/>
    <w:rsid w:val="00A9594E"/>
    <w:rsid w:val="00AA62E5"/>
    <w:rsid w:val="00AE59C8"/>
    <w:rsid w:val="00B10098"/>
    <w:rsid w:val="00B5790D"/>
    <w:rsid w:val="00B64176"/>
    <w:rsid w:val="00B945C5"/>
    <w:rsid w:val="00BA20EA"/>
    <w:rsid w:val="00BB5AFC"/>
    <w:rsid w:val="00BC0A56"/>
    <w:rsid w:val="00C45366"/>
    <w:rsid w:val="00C57023"/>
    <w:rsid w:val="00C74052"/>
    <w:rsid w:val="00CB187A"/>
    <w:rsid w:val="00CC0EC7"/>
    <w:rsid w:val="00CC251A"/>
    <w:rsid w:val="00CF2C98"/>
    <w:rsid w:val="00CF402E"/>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11B8"/>
    <w:rsid w:val="00E86EE2"/>
    <w:rsid w:val="00E91E2F"/>
    <w:rsid w:val="00EA3546"/>
    <w:rsid w:val="00EB47AE"/>
    <w:rsid w:val="00EC34E1"/>
    <w:rsid w:val="00EF7CD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19152C3-A26C-4213-B8A7-E2A57A68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5</Pages>
  <Words>1129</Words>
  <Characters>6238</Characters>
  <Application>Microsoft Office Word</Application>
  <DocSecurity>0</DocSecurity>
  <Lines>173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 Text of Previous Version (Apr. 11, 2019) - South Carolina Legislature Online</dc:title>
  <dc:subject/>
  <dc:creator>Sara Parrish</dc:creator>
  <cp:keywords/>
  <dc:description/>
  <cp:lastModifiedBy>Lavarres Lynch</cp:lastModifiedBy>
  <cp:revision>2</cp:revision>
  <dcterms:created xsi:type="dcterms:W3CDTF">2019-04-11T19:27:00Z</dcterms:created>
  <dcterms:modified xsi:type="dcterms:W3CDTF">2019-04-11T19:27:00Z</dcterms:modified>
</cp:coreProperties>
</file>