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8CE" w:rsidRP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44467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658CE" w:rsidRDefault="0044467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w:t>
      </w:r>
      <w:r w:rsidR="00D658CE">
        <w:t>, 2019</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Pr="00D658CE" w:rsidRDefault="00D658CE" w:rsidP="00D658CE">
      <w:pPr>
        <w:tabs>
          <w:tab w:val="right" w:pos="5933"/>
        </w:tabs>
        <w:suppressAutoHyphens/>
      </w:pPr>
      <w:r>
        <w:tab/>
      </w:r>
      <w:r>
        <w:rPr>
          <w:b/>
          <w:sz w:val="36"/>
        </w:rPr>
        <w:t>S. 579</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932">
        <w:t>Senator Gambrell</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44467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w:t>
      </w:r>
      <w:r w:rsidR="00D658CE">
        <w:t>/19--S.</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Pr="00D658CE" w:rsidRDefault="00D658CE" w:rsidP="00D65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8CE" w:rsidSect="00D658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F2A" w:rsidRDefault="00242F2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D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AE">
        <w:rPr>
          <w:color w:val="000000" w:themeColor="text1"/>
          <w:u w:color="000000" w:themeColor="text1"/>
        </w:rPr>
        <w:t>TO AMEND SECTION 38</w:t>
      </w:r>
      <w:r w:rsidRPr="00BA1CAE">
        <w:rPr>
          <w:color w:val="000000" w:themeColor="text1"/>
          <w:u w:color="000000" w:themeColor="text1"/>
        </w:rPr>
        <w:noBreakHyphen/>
        <w:t>73</w:t>
      </w:r>
      <w:r w:rsidRPr="00BA1CAE">
        <w:rPr>
          <w:color w:val="000000" w:themeColor="text1"/>
          <w:u w:color="000000" w:themeColor="text1"/>
        </w:rPr>
        <w:noBreakHyphen/>
        <w:t xml:space="preserve">920, CODE OF LAWS OF SOUTH CAROLINA, 1976, RELATING TO REQUIRED RATE FILINGS FOR INSURERS, SO AS TO PROVIDE THAT AUTOMOBILE INSURANCE RATE INCREASES MAY NOT BE APPROVED FOR AN INSURER OR RATING ORGANIZATION WHO HAS BEEN GRANTED A RATE INCREASE IN </w:t>
      </w:r>
      <w:r>
        <w:rPr>
          <w:color w:val="000000" w:themeColor="text1"/>
          <w:u w:color="000000" w:themeColor="text1"/>
        </w:rPr>
        <w:t xml:space="preserve">THE </w:t>
      </w:r>
      <w:r w:rsidRPr="00BA1CAE">
        <w:rPr>
          <w:color w:val="000000" w:themeColor="text1"/>
          <w:u w:color="000000" w:themeColor="text1"/>
        </w:rPr>
        <w:t>PRECE</w:t>
      </w:r>
      <w:r w:rsidR="00192C2E">
        <w:rPr>
          <w:color w:val="000000" w:themeColor="text1"/>
          <w:u w:color="000000" w:themeColor="text1"/>
        </w:rPr>
        <w:t>DING SIX MONTHS.</w:t>
      </w:r>
      <w:bookmarkEnd w:id="1"/>
    </w:p>
    <w:p w:rsidR="0010776B" w:rsidRDefault="0044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4467A" w:rsidRDefault="0044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1.</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220(A) of the 1976 Code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 xml:space="preserve">s rates then in effect may take effect without prior approval on a file and use basis with respect to rates for </w:t>
      </w:r>
      <w:r w:rsidRPr="00C03DC1">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260(A) and (F)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s rates then in effect may take effect without prior approval on a file and use basis with respect to rates for</w:t>
      </w:r>
      <w:r>
        <w:rPr>
          <w:color w:val="000000" w:themeColor="text1"/>
          <w:u w:color="000000" w:themeColor="text1"/>
        </w:rPr>
        <w:t xml:space="preserve"> </w:t>
      </w:r>
      <w:r>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(F)(1)</w:t>
      </w:r>
      <w:r>
        <w:rPr>
          <w:color w:val="000000" w:themeColor="text1"/>
          <w:u w:color="000000" w:themeColor="text1"/>
        </w:rPr>
        <w:tab/>
      </w:r>
      <w:r w:rsidRPr="00C03DC1">
        <w:rPr>
          <w:color w:val="000000" w:themeColor="text1"/>
          <w:u w:color="000000" w:themeColor="text1"/>
        </w:rPr>
        <w:t>Nothing in this section prevents the director or his designee from considering the impact on individual territories or individual insureds when determining whether the rate is excessive, inadequate, or unfairly discriminatory. Rate level increases or decreases falling within the limitation specified in this subsection must comply with the requirements of this chapter prohibiting rate increases from being excessive, inadequate, or unfairly discriminatory.</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With respect to fire, allied lines, and homeowner</w:t>
      </w:r>
      <w:r w:rsidRPr="008C5A03">
        <w:rPr>
          <w:color w:val="000000" w:themeColor="text1"/>
          <w:u w:color="000000" w:themeColor="text1"/>
        </w:rPr>
        <w:t>’</w:t>
      </w:r>
      <w:r w:rsidRPr="00C03DC1">
        <w:rPr>
          <w:color w:val="000000" w:themeColor="text1"/>
          <w:u w:color="000000" w:themeColor="text1"/>
        </w:rPr>
        <w:t>s rates, the director or his designee shall specifically review all rate filings made on or after June 1, 2007, to ensure that each insurer</w:t>
      </w:r>
      <w:r w:rsidRPr="008C5A03">
        <w:rPr>
          <w:color w:val="000000" w:themeColor="text1"/>
          <w:u w:color="000000" w:themeColor="text1"/>
        </w:rPr>
        <w:t>’</w:t>
      </w:r>
      <w:r w:rsidRPr="00C03DC1">
        <w:rPr>
          <w:color w:val="000000" w:themeColor="text1"/>
          <w:u w:color="000000" w:themeColor="text1"/>
        </w:rPr>
        <w:t>s rates for policies that exclude wind coverage reflect a discount commensurate with that insurer</w:t>
      </w:r>
      <w:r w:rsidRPr="008C5A03">
        <w:rPr>
          <w:color w:val="000000" w:themeColor="text1"/>
          <w:u w:color="000000" w:themeColor="text1"/>
        </w:rPr>
        <w:t>’</w:t>
      </w:r>
      <w:r w:rsidRPr="00C03DC1">
        <w:rPr>
          <w:color w:val="000000" w:themeColor="text1"/>
          <w:u w:color="000000" w:themeColor="text1"/>
        </w:rPr>
        <w:t>s previously filed surcharge for policies that include wind coverage.</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(3)</w:t>
      </w:r>
      <w:r>
        <w:rPr>
          <w:color w:val="000000" w:themeColor="text1"/>
          <w:u w:color="000000" w:themeColor="text1"/>
        </w:rPr>
        <w:tab/>
      </w:r>
      <w:r w:rsidRPr="00C03DC1">
        <w:rPr>
          <w:strike/>
          <w:color w:val="000000" w:themeColor="text1"/>
          <w:u w:color="000000" w:themeColor="text1"/>
        </w:rPr>
        <w:t>his subsection does not apply to private passenger automobile insurance nor to insurance against liability arising out of the ownership, maintenance, or the use of:</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(a)</w:t>
      </w:r>
      <w:r w:rsidRPr="008C5A03">
        <w:rPr>
          <w:color w:val="000000" w:themeColor="text1"/>
          <w:u w:color="000000" w:themeColor="text1"/>
        </w:rPr>
        <w:tab/>
      </w:r>
      <w:r w:rsidRPr="00C03DC1">
        <w:rPr>
          <w:strike/>
          <w:color w:val="000000" w:themeColor="text1"/>
          <w:u w:color="000000" w:themeColor="text1"/>
        </w:rPr>
        <w:t>an individual private passenger automobile as defined in Section 38</w:t>
      </w:r>
      <w:r>
        <w:rPr>
          <w:strike/>
          <w:color w:val="000000" w:themeColor="text1"/>
          <w:u w:color="000000" w:themeColor="text1"/>
        </w:rPr>
        <w:noBreakHyphen/>
      </w:r>
      <w:r w:rsidRPr="00C03DC1">
        <w:rPr>
          <w:strike/>
          <w:color w:val="000000" w:themeColor="text1"/>
          <w:u w:color="000000" w:themeColor="text1"/>
        </w:rPr>
        <w:t>77</w:t>
      </w:r>
      <w:r>
        <w:rPr>
          <w:strike/>
          <w:color w:val="000000" w:themeColor="text1"/>
          <w:u w:color="000000" w:themeColor="text1"/>
        </w:rPr>
        <w:noBreakHyphen/>
      </w:r>
      <w:r w:rsidRPr="00C03DC1">
        <w:rPr>
          <w:strike/>
          <w:color w:val="000000" w:themeColor="text1"/>
          <w:u w:color="000000" w:themeColor="text1"/>
        </w:rPr>
        <w:t>30(5.5)(a); or</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(b)</w:t>
      </w:r>
      <w:r>
        <w:rPr>
          <w:color w:val="000000" w:themeColor="text1"/>
          <w:u w:color="000000" w:themeColor="text1"/>
        </w:rPr>
        <w:tab/>
      </w:r>
      <w:r w:rsidRPr="00C03DC1">
        <w:rPr>
          <w:strike/>
          <w:color w:val="000000" w:themeColor="text1"/>
          <w:u w:color="000000" w:themeColor="text1"/>
        </w:rPr>
        <w:t>property having wheels.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C03DC1">
        <w:rPr>
          <w:color w:val="000000" w:themeColor="text1"/>
          <w:u w:color="000000" w:themeColor="text1"/>
        </w:rPr>
        <w:t>3.</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920 of the 1976 Code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920.</w:t>
      </w:r>
      <w:r>
        <w:rPr>
          <w:color w:val="000000" w:themeColor="text1"/>
          <w:u w:color="000000" w:themeColor="text1"/>
        </w:rPr>
        <w:tab/>
      </w:r>
      <w:r w:rsidRPr="00C03DC1">
        <w:rPr>
          <w:color w:val="000000" w:themeColor="text1"/>
          <w:u w:color="000000" w:themeColor="text1"/>
        </w:rPr>
        <w:t>An insurer may not make or issue a contract or policy except in accordance with the filings which are in effect for the insurer as provided in this chapter or in accordance with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1060. Notwithstanding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10, </w:t>
      </w:r>
      <w:r w:rsidRPr="00C03DC1">
        <w:rPr>
          <w:color w:val="000000" w:themeColor="text1"/>
          <w:u w:val="single" w:color="000000" w:themeColor="text1"/>
        </w:rPr>
        <w:t>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220, 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260,</w:t>
      </w:r>
      <w:r w:rsidRPr="00C03DC1">
        <w:rPr>
          <w:color w:val="000000" w:themeColor="text1"/>
          <w:u w:color="000000" w:themeColor="text1"/>
        </w:rPr>
        <w:t xml:space="preserve">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330(2), and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430(4), filings for </w:t>
      </w:r>
      <w:r w:rsidRPr="00C03DC1">
        <w:rPr>
          <w:color w:val="000000" w:themeColor="text1"/>
          <w:u w:val="single" w:color="000000" w:themeColor="text1"/>
        </w:rPr>
        <w:t>other</w:t>
      </w:r>
      <w:r w:rsidRPr="00C03DC1">
        <w:rPr>
          <w:color w:val="000000" w:themeColor="text1"/>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w:t>
      </w:r>
      <w:r w:rsidRPr="00C03DC1">
        <w:rPr>
          <w:color w:val="000000" w:themeColor="text1"/>
          <w:u w:color="000000" w:themeColor="text1"/>
        </w:rPr>
        <w:lastRenderedPageBreak/>
        <w:t>upon an assessment may become effective unless the assessment has been paid. This section does not apply to contracts or policies for inland marine risks as to which filings are not required.</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However, a private insurer licensed to underwrite essential property insurance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310(1), notwithstanding any limitations included within this title, may file and use, pursuant to the provisions of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310(5) not more than once in any six</w:t>
      </w:r>
      <w:r>
        <w:rPr>
          <w:color w:val="000000" w:themeColor="text1"/>
          <w:u w:color="000000" w:themeColor="text1"/>
        </w:rPr>
        <w:noBreakHyphen/>
      </w:r>
      <w:r w:rsidRPr="00C03DC1">
        <w:rPr>
          <w:color w:val="000000" w:themeColor="text1"/>
          <w:u w:color="000000" w:themeColor="text1"/>
        </w:rPr>
        <w:t>month period.”</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D30"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DC1">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4.</w:t>
      </w:r>
      <w:r>
        <w:rPr>
          <w:color w:val="000000" w:themeColor="text1"/>
          <w:u w:color="000000" w:themeColor="text1"/>
        </w:rPr>
        <w:tab/>
      </w:r>
      <w:r w:rsidRPr="00C03DC1">
        <w:rPr>
          <w:color w:val="000000" w:themeColor="text1"/>
          <w:u w:color="000000" w:themeColor="text1"/>
        </w:rPr>
        <w:t>This act takes effect upon approval by the Governor.</w:t>
      </w:r>
    </w:p>
    <w:p w:rsidR="005630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B59" w:rsidRDefault="00267B59" w:rsidP="00267B59">
      <w:pPr>
        <w:suppressAutoHyphens/>
      </w:pPr>
    </w:p>
    <w:sectPr w:rsidR="00267B59" w:rsidSect="00D658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30" w:rsidRDefault="005A5D30" w:rsidP="009F0C77">
      <w:r>
        <w:separator/>
      </w:r>
    </w:p>
  </w:endnote>
  <w:endnote w:type="continuationSeparator" w:id="0">
    <w:p w:rsidR="005A5D30" w:rsidRDefault="005A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0389F72-0F5A-483A-BBE1-4F6FFC74DC64}"/>
    <w:embedBold r:id="rId2" w:fontKey="{C9B38E62-47A7-4F65-89A3-8574EE0B737C}"/>
  </w:font>
  <w:font w:name="Calibri">
    <w:panose1 w:val="020F0502020204030204"/>
    <w:charset w:val="00"/>
    <w:family w:val="swiss"/>
    <w:pitch w:val="variable"/>
    <w:sig w:usb0="E00002FF" w:usb1="4000ACFF" w:usb2="00000001" w:usb3="00000000" w:csb0="0000019F" w:csb1="00000000"/>
    <w:embedRegular r:id="rId3" w:fontKey="{44DFDBAC-7448-43EA-8F4B-C2B03F8F3A23}"/>
  </w:font>
  <w:font w:name="Segoe UI">
    <w:panose1 w:val="020B0502040204020203"/>
    <w:charset w:val="00"/>
    <w:family w:val="swiss"/>
    <w:pitch w:val="variable"/>
    <w:sig w:usb0="E4002EFF" w:usb1="C000E47F" w:usb2="00000009" w:usb3="00000000" w:csb0="000001FF" w:csb1="00000000"/>
    <w:embedRegular r:id="rId4" w:fontKey="{931E59ED-F5FB-4E96-8C03-F2F10E031743}"/>
  </w:font>
  <w:font w:name="Cambria">
    <w:panose1 w:val="02040503050406030204"/>
    <w:charset w:val="00"/>
    <w:family w:val="roman"/>
    <w:pitch w:val="variable"/>
    <w:sig w:usb0="E00006FF" w:usb1="420024FF" w:usb2="02000000" w:usb3="00000000" w:csb0="0000019F" w:csb1="00000000"/>
    <w:embedRegular r:id="rId5" w:fontKey="{AA5237A4-1ACB-4C97-ABEE-5DE1287EF09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B0" w:rsidRPr="00242F2A" w:rsidRDefault="00242F2A" w:rsidP="00242F2A">
    <w:pPr>
      <w:pStyle w:val="Footer"/>
      <w:tabs>
        <w:tab w:val="clear" w:pos="4680"/>
        <w:tab w:val="clear" w:pos="9360"/>
        <w:tab w:val="center" w:pos="2995"/>
      </w:tabs>
      <w:spacing w:before="120"/>
    </w:pPr>
    <w:r>
      <w:t>[579</w:t>
    </w:r>
    <w:r w:rsidR="00D658CE">
      <w:t>-</w:t>
    </w:r>
    <w:r w:rsidR="00D658CE">
      <w:fldChar w:fldCharType="begin"/>
    </w:r>
    <w:r w:rsidR="00D658CE">
      <w:instrText xml:space="preserve"> PAGE  \* MERGEFORMAT </w:instrText>
    </w:r>
    <w:r w:rsidR="00D658CE">
      <w:fldChar w:fldCharType="separate"/>
    </w:r>
    <w:r w:rsidR="00447BF8">
      <w:rPr>
        <w:noProof/>
      </w:rPr>
      <w:t>1</w:t>
    </w:r>
    <w:r w:rsidR="00D658CE">
      <w:fldChar w:fldCharType="end"/>
    </w:r>
    <w:r w:rsidR="00D658C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8CE" w:rsidRPr="00242F2A" w:rsidRDefault="00D658CE" w:rsidP="00242F2A">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267B5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30" w:rsidRDefault="005A5D30" w:rsidP="009F0C77">
      <w:r>
        <w:separator/>
      </w:r>
    </w:p>
  </w:footnote>
  <w:footnote w:type="continuationSeparator" w:id="0">
    <w:p w:rsidR="005A5D30" w:rsidRDefault="005A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7CZ19"/>
    <w:docVar w:name="CoverBillType" w:val="b"/>
    <w:docVar w:name="DocPath" w:val="L:\Council\bills\BH\7177CZ19.DOCX"/>
    <w:docVar w:name="dvBillNumber" w:val="579"/>
    <w:docVar w:name="dvBillNumberPrefix" w:val="S. "/>
    <w:docVar w:name="dvOriginalBody" w:val="Senate"/>
    <w:docVar w:name="dvSteno" w:val="BH"/>
    <w:docVar w:name="NameofBody" w:val="s"/>
    <w:docVar w:name="vGroup2" w:val="Council"/>
  </w:docVars>
  <w:rsids>
    <w:rsidRoot w:val="005A5D30"/>
    <w:rsid w:val="000263D9"/>
    <w:rsid w:val="00026C9A"/>
    <w:rsid w:val="000965A1"/>
    <w:rsid w:val="000C487D"/>
    <w:rsid w:val="000E1785"/>
    <w:rsid w:val="000F39F2"/>
    <w:rsid w:val="001023A4"/>
    <w:rsid w:val="0010776B"/>
    <w:rsid w:val="00133E66"/>
    <w:rsid w:val="00134ACF"/>
    <w:rsid w:val="00144E15"/>
    <w:rsid w:val="00192C2E"/>
    <w:rsid w:val="001A4A62"/>
    <w:rsid w:val="001A681E"/>
    <w:rsid w:val="001D08F2"/>
    <w:rsid w:val="002037CA"/>
    <w:rsid w:val="002047A2"/>
    <w:rsid w:val="002321B6"/>
    <w:rsid w:val="0023696B"/>
    <w:rsid w:val="00242F2A"/>
    <w:rsid w:val="00250967"/>
    <w:rsid w:val="00267B59"/>
    <w:rsid w:val="002759C5"/>
    <w:rsid w:val="00276598"/>
    <w:rsid w:val="00277DEE"/>
    <w:rsid w:val="00280D88"/>
    <w:rsid w:val="00294ABE"/>
    <w:rsid w:val="002A3EB4"/>
    <w:rsid w:val="00325348"/>
    <w:rsid w:val="00393688"/>
    <w:rsid w:val="003D411E"/>
    <w:rsid w:val="003E3C1E"/>
    <w:rsid w:val="003E6148"/>
    <w:rsid w:val="003E7D04"/>
    <w:rsid w:val="00400EAA"/>
    <w:rsid w:val="0041760A"/>
    <w:rsid w:val="004203D7"/>
    <w:rsid w:val="0044467A"/>
    <w:rsid w:val="00447BF8"/>
    <w:rsid w:val="0045065F"/>
    <w:rsid w:val="004809EE"/>
    <w:rsid w:val="004B2A8B"/>
    <w:rsid w:val="00511EE9"/>
    <w:rsid w:val="00521E00"/>
    <w:rsid w:val="0052710E"/>
    <w:rsid w:val="005630B0"/>
    <w:rsid w:val="00577C6C"/>
    <w:rsid w:val="0058501B"/>
    <w:rsid w:val="005A5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7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8CE"/>
    <w:rsid w:val="00D6662B"/>
    <w:rsid w:val="00D95E2F"/>
    <w:rsid w:val="00D970A9"/>
    <w:rsid w:val="00DA06F3"/>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1A7DE-716F-4489-BCC4-0ADD2FC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181CA-3F89-43C5-A851-087455D6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4F8D6CC3</Template>
  <TotalTime>0</TotalTime>
  <Pages>4</Pages>
  <Words>746</Words>
  <Characters>4092</Characters>
  <Application>Microsoft Office Word</Application>
  <DocSecurity>0</DocSecurity>
  <Lines>118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579 Text of Previous Version (Mar. 21, 2019) - South Carolina Legislature Online</dc:title>
  <dc:subject/>
  <dc:creator>Bonnie Huth</dc:creator>
  <cp:keywords/>
  <dc:description/>
  <cp:lastModifiedBy>David Brunson</cp:lastModifiedBy>
  <cp:revision>2</cp:revision>
  <cp:lastPrinted>2019-02-19T20:53:00Z</cp:lastPrinted>
  <dcterms:created xsi:type="dcterms:W3CDTF">2019-03-21T17:17:00Z</dcterms:created>
  <dcterms:modified xsi:type="dcterms:W3CDTF">2019-03-21T17:17:00Z</dcterms:modified>
</cp:coreProperties>
</file>