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599E3" w14:textId="4CD97C5C"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E84B328" w14:textId="05EADCAF" w:rsidR="00610F85" w:rsidRP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FD2BD6" w14:textId="04BC491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CC6DB" w14:textId="7B862CCE"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571CF6C" w14:textId="52BD552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14:paraId="285E3674" w14:textId="3C339D91"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0A250" w14:textId="79D68C12" w:rsidR="00610F85" w:rsidRPr="00610F85" w:rsidRDefault="00610F85" w:rsidP="00610F85">
      <w:pPr>
        <w:tabs>
          <w:tab w:val="right" w:pos="5933"/>
        </w:tabs>
        <w:suppressAutoHyphens/>
        <w:jc w:val="both"/>
        <w:rPr>
          <w:rFonts w:eastAsia="Times New Roman"/>
        </w:rPr>
      </w:pPr>
      <w:r>
        <w:rPr>
          <w:rFonts w:eastAsia="Times New Roman"/>
        </w:rPr>
        <w:tab/>
      </w:r>
      <w:r>
        <w:rPr>
          <w:rFonts w:eastAsia="Times New Roman"/>
          <w:b/>
          <w:sz w:val="36"/>
        </w:rPr>
        <w:t>S. 7</w:t>
      </w:r>
    </w:p>
    <w:p w14:paraId="46E85877" w14:textId="74D1077D"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949FD" w14:textId="28745EDA"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Climer, Goldfinch, Talley, Harpootlian and Kimpson</w:t>
      </w:r>
    </w:p>
    <w:p w14:paraId="15A54FBD" w14:textId="66624DAF"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B1255" w14:textId="57A8B55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1/23/19--S.</w:t>
      </w:r>
    </w:p>
    <w:p w14:paraId="7E41E4E1" w14:textId="780846D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74B2B7A8" w14:textId="64128245"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351C6F41" w14:textId="77777777" w:rsidR="00F947C6" w:rsidRPr="00610F85" w:rsidRDefault="00F947C6"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DB4314F" w14:textId="64340E76" w:rsidR="00610F85" w:rsidRP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3E9E641" w14:textId="26E96D73"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 to amend Section 15-78-120, Code of Laws of South Carolina, 1976, relating to the limitation of liability, so as to increase the limits from, etc., respectfully</w:t>
      </w:r>
    </w:p>
    <w:p w14:paraId="73F0BFD4" w14:textId="0EF06510" w:rsidR="00610F85" w:rsidRP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41C94E5" w14:textId="2E9FB0AB"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F494DCA"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9FB7C" w14:textId="77777777"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Amend the bill, as and if amended, page 2, by striking lines 21 through 30, in Section 15-78-120(a), as contained in SECTION 1, and inserting therein the following:</w:t>
      </w:r>
    </w:p>
    <w:p w14:paraId="0B318D68" w14:textId="77777777"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w:t>
      </w:r>
      <w:r w:rsidRPr="00434C01">
        <w:rPr>
          <w:rFonts w:eastAsia="Times New Roman"/>
          <w:snapToGrid w:val="0"/>
          <w:szCs w:val="20"/>
        </w:rPr>
        <w:tab/>
      </w:r>
      <w:r w:rsidRPr="00434C01">
        <w:rPr>
          <w:rFonts w:eastAsia="Times New Roman"/>
          <w:snapToGrid w:val="0"/>
          <w:szCs w:val="20"/>
        </w:rPr>
        <w:tab/>
      </w:r>
      <w:r w:rsidRPr="00434C01">
        <w:rPr>
          <w:rFonts w:eastAsia="Times New Roman"/>
          <w:snapToGrid w:val="0"/>
          <w:szCs w:val="20"/>
          <w:u w:val="single"/>
        </w:rPr>
        <w:t>(6)</w:t>
      </w:r>
      <w:r w:rsidRPr="00434C01">
        <w:rPr>
          <w:rFonts w:eastAsia="Times New Roman"/>
          <w:snapToGrid w:val="0"/>
          <w:szCs w:val="20"/>
          <w:u w:val="single"/>
        </w:rPr>
        <w:tab/>
      </w:r>
      <w:r w:rsidRPr="00434C01">
        <w:rPr>
          <w:u w:val="single" w:color="000000" w:themeColor="text1"/>
          <w:shd w:val="clear" w:color="auto" w:fill="FFFFFF"/>
        </w:rPr>
        <w:t>Starting July 1, 2021, and every year thereafter, the Revenue and Fiscal Affairs Office, Board of Economic Advisors, must determine the increase or decrease in the ratio of the Consumer Price Index for all Urban Consumers (CPI</w:t>
      </w:r>
      <w:r w:rsidRPr="00434C01">
        <w:rPr>
          <w:u w:val="single" w:color="000000" w:themeColor="text1"/>
          <w:shd w:val="clear" w:color="auto" w:fill="FFFFFF"/>
        </w:rPr>
        <w:noBreakHyphen/>
        <w:t>U), South Region, published by the U.S. Department of Labor, to the Index of June 30 of the previous year, and all limitations on liability amounts allowed by Sections 15</w:t>
      </w:r>
      <w:r w:rsidRPr="00434C01">
        <w:rPr>
          <w:u w:val="single" w:color="000000" w:themeColor="text1"/>
          <w:shd w:val="clear" w:color="auto" w:fill="FFFFFF"/>
        </w:rPr>
        <w:noBreakHyphen/>
        <w:t>78</w:t>
      </w:r>
      <w:r w:rsidRPr="00434C01">
        <w:rPr>
          <w:u w:val="single" w:color="000000" w:themeColor="text1"/>
          <w:shd w:val="clear" w:color="auto" w:fill="FFFFFF"/>
        </w:rPr>
        <w:noBreakHyphen/>
        <w:t xml:space="preserve">120(a)(1) through (4) must be adjusted accordingly. As soon as practicable after this adjustment is calculated, the Director of the Revenue and Fiscal Affairs Office shall submit the revised limitation on liability amounts as allowed by Section 15-78-120(a)(1) through (4) to the State Register for publication pursuant to Section 1-23-40(2) and to the Director of the Insurance Reserve Fund. The revised limitation on liability amounts becomes effective on July first of each year, starting July 1, 2021. As soon as practicable after this adjustment is calculated and the revised limitation on liability amounts is sent to the Director of the </w:t>
      </w:r>
      <w:r w:rsidRPr="00434C01">
        <w:rPr>
          <w:u w:val="single" w:color="000000" w:themeColor="text1"/>
          <w:shd w:val="clear" w:color="auto" w:fill="FFFFFF"/>
        </w:rPr>
        <w:lastRenderedPageBreak/>
        <w:t>Insurance Reserve Fund, the Director of the Insurance Reserve Fund shall publish the revised limitation on liability amounts on the Insurance Reserve Fund’s internet website.</w:t>
      </w:r>
      <w:r w:rsidRPr="00434C01">
        <w:rPr>
          <w:u w:color="000000" w:themeColor="text1"/>
          <w:shd w:val="clear" w:color="auto" w:fill="FFFFFF"/>
        </w:rPr>
        <w:t>”</w:t>
      </w:r>
      <w:r w:rsidRPr="00434C01">
        <w:rPr>
          <w:rFonts w:eastAsia="Times New Roman"/>
          <w:snapToGrid w:val="0"/>
          <w:szCs w:val="20"/>
        </w:rPr>
        <w:tab/>
      </w:r>
      <w:r w:rsidRPr="00434C01">
        <w:rPr>
          <w:rFonts w:eastAsia="Times New Roman"/>
          <w:snapToGrid w:val="0"/>
          <w:szCs w:val="20"/>
        </w:rPr>
        <w:tab/>
        <w:t xml:space="preserve">/ </w:t>
      </w:r>
    </w:p>
    <w:p w14:paraId="070A7B98" w14:textId="77777777"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Amend the bill further, as and if amended, page 2, by striking line 32, as contained in SECTION 2, and inserting therein the following:</w:t>
      </w:r>
    </w:p>
    <w:p w14:paraId="38341B29" w14:textId="7153A005"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w:t>
      </w:r>
      <w:r w:rsidRPr="00434C01">
        <w:rPr>
          <w:rFonts w:eastAsia="Times New Roman"/>
          <w:snapToGrid w:val="0"/>
          <w:szCs w:val="20"/>
        </w:rPr>
        <w:tab/>
      </w:r>
      <w:r w:rsidRPr="00434C01">
        <w:rPr>
          <w:rFonts w:eastAsia="Times New Roman"/>
          <w:snapToGrid w:val="0"/>
          <w:szCs w:val="20"/>
        </w:rPr>
        <w:tab/>
        <w:t>SECTION</w:t>
      </w:r>
      <w:r w:rsidRPr="00434C01">
        <w:rPr>
          <w:rFonts w:eastAsia="Times New Roman"/>
          <w:snapToGrid w:val="0"/>
          <w:szCs w:val="20"/>
        </w:rPr>
        <w:tab/>
        <w:t>2.</w:t>
      </w:r>
      <w:r w:rsidRPr="00434C01">
        <w:rPr>
          <w:rFonts w:eastAsia="Times New Roman"/>
          <w:snapToGrid w:val="0"/>
          <w:szCs w:val="20"/>
        </w:rPr>
        <w:tab/>
      </w:r>
      <w:r w:rsidRPr="00434C01">
        <w:t>Upon approval by the Governor, this act takes effect July 1, 2020, for causes of action with a date of loss arising on or after July 1, 2020.</w:t>
      </w:r>
      <w:r>
        <w:rPr>
          <w:rFonts w:eastAsia="Times New Roman"/>
          <w:snapToGrid w:val="0"/>
          <w:szCs w:val="20"/>
        </w:rPr>
        <w:tab/>
      </w:r>
      <w:r w:rsidRPr="00434C01">
        <w:rPr>
          <w:rFonts w:eastAsia="Times New Roman"/>
          <w:snapToGrid w:val="0"/>
          <w:szCs w:val="20"/>
        </w:rPr>
        <w:t xml:space="preserve">/ </w:t>
      </w:r>
    </w:p>
    <w:p w14:paraId="4202BC6D" w14:textId="77777777"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Renumber sections to conform.</w:t>
      </w:r>
    </w:p>
    <w:p w14:paraId="7E0374D7" w14:textId="77777777"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C01">
        <w:rPr>
          <w:rFonts w:eastAsia="Times New Roman"/>
          <w:snapToGrid w:val="0"/>
          <w:szCs w:val="20"/>
        </w:rPr>
        <w:tab/>
        <w:t>Amend title to conform.</w:t>
      </w:r>
    </w:p>
    <w:p w14:paraId="65A654BD" w14:textId="77777777" w:rsidR="00610F85" w:rsidRPr="00434C01"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14:paraId="479C9B63" w14:textId="1FF57C56"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1CCF2019" w14:textId="631886D0" w:rsidR="00610F85" w:rsidRP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817BF2B"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AF883"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0F85" w:rsidSect="00610F8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BE02D1" w14:textId="262BFF80" w:rsidR="00566E47" w:rsidRDefault="00566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9A42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B7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51A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D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F79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7CC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CA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7A036" w14:textId="77777777" w:rsidR="00522CE0" w:rsidRPr="008F023B" w:rsidRDefault="00522CE0"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05C">
        <w:rPr>
          <w:rFonts w:eastAsia="Times New Roman"/>
          <w:b/>
          <w:sz w:val="30"/>
          <w:szCs w:val="30"/>
        </w:rPr>
        <w:t>BILL</w:t>
      </w:r>
    </w:p>
    <w:p w14:paraId="10BA1D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9B1B5" w14:textId="77777777" w:rsidR="00522CE0" w:rsidRPr="00522CE0" w:rsidRDefault="00593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CODE OF LAWS OF SOUTH CAROLINA, 1976, RELATING TO THE LIMITATION OF LIABILITY, SO AS TO INCREASE THE LIMITS FROM A LOSS </w:t>
      </w:r>
      <w:r w:rsidR="00003A98">
        <w:rPr>
          <w:rFonts w:eastAsia="Times New Roman"/>
        </w:rPr>
        <w:t xml:space="preserve">TO ONE PERSON </w:t>
      </w:r>
      <w:r>
        <w:rPr>
          <w:rFonts w:eastAsia="Times New Roman"/>
        </w:rPr>
        <w:t>ARISING FROM A SINGLE OCCURRENCE TO ONE MILLION DOLLARS, TO INCREASE THE TOTAL LIMITS FROM A LOSS ARISING OUT OF A SINGLE OCCURRENCE TO TWO MILLION DOLLARS, AND TO REQUIRE THE LIMITS BE ADJUSTED ANNUALLY IN ACCORDANCE WITH THE CONSUMER PRICE INDEX.</w:t>
      </w:r>
      <w:bookmarkEnd w:id="1"/>
    </w:p>
    <w:p w14:paraId="27C34C9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5DFC8C"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AE4978"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56CCB" w14:textId="77777777" w:rsidR="00593CEB" w:rsidRPr="00682622" w:rsidRDefault="00ED005C"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593CEB" w:rsidRPr="00682622">
        <w:rPr>
          <w:rFonts w:eastAsia="Times New Roman"/>
          <w:color w:val="000000" w:themeColor="text1"/>
          <w:szCs w:val="20"/>
          <w:u w:color="000000" w:themeColor="text1"/>
        </w:rPr>
        <w:t>Section 15</w:t>
      </w:r>
      <w:r w:rsidR="00593CEB" w:rsidRPr="00682622">
        <w:rPr>
          <w:rFonts w:eastAsia="Times New Roman"/>
          <w:color w:val="000000" w:themeColor="text1"/>
          <w:szCs w:val="20"/>
          <w:u w:color="000000" w:themeColor="text1"/>
        </w:rPr>
        <w:noBreakHyphen/>
        <w:t>78</w:t>
      </w:r>
      <w:r w:rsidR="00593CEB" w:rsidRPr="00682622">
        <w:rPr>
          <w:rFonts w:eastAsia="Times New Roman"/>
          <w:color w:val="000000" w:themeColor="text1"/>
          <w:szCs w:val="20"/>
          <w:u w:color="000000" w:themeColor="text1"/>
        </w:rPr>
        <w:noBreakHyphen/>
        <w:t>120(a) of the 1976 Code is amended to read:</w:t>
      </w:r>
    </w:p>
    <w:p w14:paraId="196B6650"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t>“(a)</w:t>
      </w:r>
      <w:r w:rsidRPr="00682622">
        <w:rPr>
          <w:color w:val="000000" w:themeColor="text1"/>
          <w:u w:color="000000" w:themeColor="text1"/>
        </w:rPr>
        <w:tab/>
        <w:t>For any action or claim for damages brought under the provisions of this chapter, the liability shall not exceed the following limits:</w:t>
      </w:r>
    </w:p>
    <w:p w14:paraId="4840D83E"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(1)</w:t>
      </w:r>
      <w:r w:rsidRPr="00682622">
        <w:rPr>
          <w:color w:val="000000" w:themeColor="text1"/>
          <w:u w:color="000000" w:themeColor="text1"/>
        </w:rPr>
        <w:tab/>
        <w:t>Except as provided in Section 15</w:t>
      </w:r>
      <w:r w:rsidRPr="00682622">
        <w:rPr>
          <w:color w:val="000000" w:themeColor="text1"/>
          <w:u w:color="000000" w:themeColor="text1"/>
        </w:rPr>
        <w:noBreakHyphen/>
        <w:t>78</w:t>
      </w:r>
      <w:r w:rsidRPr="00682622">
        <w:rPr>
          <w:color w:val="000000" w:themeColor="text1"/>
          <w:u w:color="000000" w:themeColor="text1"/>
        </w:rPr>
        <w:noBreakHyphen/>
        <w:t xml:space="preserve">120(a)(3), no person shall recover in any action or claim brought hereunder a sum exceeding </w:t>
      </w:r>
      <w:r w:rsidRPr="00682622">
        <w:rPr>
          <w:strike/>
          <w:color w:val="000000" w:themeColor="text1"/>
          <w:u w:color="000000" w:themeColor="text1"/>
        </w:rPr>
        <w:t>three hundred thousand</w:t>
      </w:r>
      <w:r w:rsidRPr="00682622">
        <w:rPr>
          <w:color w:val="000000" w:themeColor="text1"/>
          <w:u w:color="000000" w:themeColor="text1"/>
        </w:rPr>
        <w:t xml:space="preserve"> </w:t>
      </w:r>
      <w:r w:rsidRPr="00682622">
        <w:rPr>
          <w:color w:val="000000" w:themeColor="text1"/>
          <w:u w:val="single" w:color="000000" w:themeColor="text1"/>
        </w:rPr>
        <w:t>one million</w:t>
      </w:r>
      <w:r w:rsidRPr="00682622">
        <w:rPr>
          <w:color w:val="000000" w:themeColor="text1"/>
          <w:u w:color="000000" w:themeColor="text1"/>
        </w:rPr>
        <w:t xml:space="preserve"> dollars because of loss arising from a single occurrence regardless of the number of agencies or political subdivisions involved.</w:t>
      </w:r>
    </w:p>
    <w:p w14:paraId="7AB49072"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(2)</w:t>
      </w:r>
      <w:r w:rsidRPr="00682622">
        <w:rPr>
          <w:color w:val="000000" w:themeColor="text1"/>
          <w:u w:color="000000" w:themeColor="text1"/>
        </w:rPr>
        <w:tab/>
        <w:t>Except as provided in Section 15</w:t>
      </w:r>
      <w:r w:rsidRPr="00682622">
        <w:rPr>
          <w:color w:val="000000" w:themeColor="text1"/>
          <w:u w:color="000000" w:themeColor="text1"/>
        </w:rPr>
        <w:noBreakHyphen/>
        <w:t>78</w:t>
      </w:r>
      <w:r w:rsidRPr="00682622">
        <w:rPr>
          <w:color w:val="000000" w:themeColor="text1"/>
          <w:u w:color="000000" w:themeColor="text1"/>
        </w:rPr>
        <w:noBreakHyphen/>
        <w:t xml:space="preserve">120(a)(4), the total sum recovered hereunder arising out of a single occurrence shall not exceed </w:t>
      </w:r>
      <w:r w:rsidRPr="00682622">
        <w:rPr>
          <w:strike/>
          <w:color w:val="000000" w:themeColor="text1"/>
          <w:u w:color="000000" w:themeColor="text1"/>
        </w:rPr>
        <w:t>six hundred thousand</w:t>
      </w:r>
      <w:r w:rsidRPr="00682622">
        <w:rPr>
          <w:color w:val="000000" w:themeColor="text1"/>
          <w:u w:color="000000" w:themeColor="text1"/>
        </w:rPr>
        <w:t xml:space="preserve"> </w:t>
      </w:r>
      <w:r w:rsidRPr="00682622">
        <w:rPr>
          <w:color w:val="000000" w:themeColor="text1"/>
          <w:u w:val="single" w:color="000000" w:themeColor="text1"/>
        </w:rPr>
        <w:t>two million</w:t>
      </w:r>
      <w:r w:rsidRPr="00682622">
        <w:rPr>
          <w:color w:val="000000" w:themeColor="text1"/>
          <w:u w:color="000000" w:themeColor="text1"/>
        </w:rPr>
        <w:t xml:space="preserve"> dollars regardless of the number of agencies or political subdivisions or claims or actions involved.</w:t>
      </w:r>
    </w:p>
    <w:p w14:paraId="7C166204"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(3)</w:t>
      </w:r>
      <w:r w:rsidRPr="00682622">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682622">
        <w:rPr>
          <w:color w:val="000000" w:themeColor="text1"/>
          <w:u w:color="000000" w:themeColor="text1"/>
        </w:rPr>
        <w:lastRenderedPageBreak/>
        <w:t>one million two hundred thousand dollars because of loss arising from a single occurrence regardless of the number of agencies or political subdivisions involved.</w:t>
      </w:r>
    </w:p>
    <w:p w14:paraId="01BB365B"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(4)</w:t>
      </w:r>
      <w:r w:rsidRPr="00682622">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06210120" w14:textId="77777777" w:rsidR="00593CEB" w:rsidRPr="0068262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2622">
        <w:rPr>
          <w:color w:val="000000" w:themeColor="text1"/>
          <w:u w:color="000000" w:themeColor="text1"/>
        </w:rPr>
        <w:tab/>
      </w:r>
      <w:r w:rsidRPr="00682622">
        <w:rPr>
          <w:color w:val="000000" w:themeColor="text1"/>
          <w:u w:color="000000" w:themeColor="text1"/>
        </w:rPr>
        <w:tab/>
        <w:t>(5)</w:t>
      </w:r>
      <w:r w:rsidRPr="00682622">
        <w:rPr>
          <w:color w:val="000000" w:themeColor="text1"/>
          <w:u w:color="000000" w:themeColor="text1"/>
        </w:rPr>
        <w:tab/>
        <w:t>The provisions of Section 15</w:t>
      </w:r>
      <w:r w:rsidRPr="00682622">
        <w:rPr>
          <w:color w:val="000000" w:themeColor="text1"/>
          <w:u w:color="000000" w:themeColor="text1"/>
        </w:rPr>
        <w:noBreakHyphen/>
        <w:t>78</w:t>
      </w:r>
      <w:r w:rsidRPr="00682622">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3B34E7B8" w14:textId="0D316572" w:rsidR="00593CEB" w:rsidRPr="00C70A02" w:rsidRDefault="00593CEB" w:rsidP="0059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682622">
        <w:rPr>
          <w:color w:val="000000" w:themeColor="text1"/>
          <w:u w:color="000000" w:themeColor="text1"/>
          <w:shd w:val="clear" w:color="auto" w:fill="FFFFFF"/>
        </w:rPr>
        <w:tab/>
      </w:r>
      <w:r>
        <w:rPr>
          <w:color w:val="000000" w:themeColor="text1"/>
          <w:u w:color="000000" w:themeColor="text1"/>
          <w:shd w:val="clear" w:color="auto" w:fill="FFFFFF"/>
        </w:rPr>
        <w:tab/>
      </w:r>
      <w:r w:rsidRPr="00682622">
        <w:rPr>
          <w:color w:val="000000" w:themeColor="text1"/>
          <w:u w:val="single" w:color="000000" w:themeColor="text1"/>
          <w:shd w:val="clear" w:color="auto" w:fill="FFFFFF"/>
        </w:rPr>
        <w:t>(6)</w:t>
      </w:r>
      <w:r w:rsidRPr="00C179B8">
        <w:rPr>
          <w:color w:val="000000" w:themeColor="text1"/>
          <w:u w:color="000000" w:themeColor="text1"/>
          <w:shd w:val="clear" w:color="auto" w:fill="FFFFFF"/>
        </w:rPr>
        <w:tab/>
      </w:r>
      <w:r w:rsidRPr="00682622">
        <w:rPr>
          <w:color w:val="000000" w:themeColor="text1"/>
          <w:u w:val="single" w:color="000000" w:themeColor="text1"/>
          <w:shd w:val="clear" w:color="auto" w:fill="FFFFFF"/>
        </w:rPr>
        <w:t xml:space="preserve">All liability amounts </w:t>
      </w:r>
      <w:r w:rsidRPr="002A4523">
        <w:rPr>
          <w:color w:val="000000" w:themeColor="text1"/>
          <w:u w:val="single" w:color="000000" w:themeColor="text1"/>
          <w:shd w:val="clear" w:color="auto" w:fill="FFFFFF"/>
        </w:rPr>
        <w:t>allowed by Sections 15</w:t>
      </w:r>
      <w:r w:rsidRPr="002A4523">
        <w:rPr>
          <w:color w:val="000000" w:themeColor="text1"/>
          <w:u w:val="single" w:color="000000" w:themeColor="text1"/>
          <w:shd w:val="clear" w:color="auto" w:fill="FFFFFF"/>
        </w:rPr>
        <w:noBreakHyphen/>
        <w:t>78</w:t>
      </w:r>
      <w:r w:rsidRPr="002A4523">
        <w:rPr>
          <w:color w:val="000000" w:themeColor="text1"/>
          <w:u w:val="single" w:color="000000" w:themeColor="text1"/>
          <w:shd w:val="clear" w:color="auto" w:fill="FFFFFF"/>
        </w:rPr>
        <w:noBreakHyphen/>
        <w:t>120(a)(1)</w:t>
      </w:r>
      <w:r w:rsidR="00685F70" w:rsidRPr="002A4523">
        <w:rPr>
          <w:color w:val="000000" w:themeColor="text1"/>
          <w:u w:val="single" w:color="000000" w:themeColor="text1"/>
          <w:shd w:val="clear" w:color="auto" w:fill="FFFFFF"/>
        </w:rPr>
        <w:t xml:space="preserve"> through </w:t>
      </w:r>
      <w:r w:rsidRPr="002A4523">
        <w:rPr>
          <w:color w:val="000000" w:themeColor="text1"/>
          <w:u w:val="single" w:color="000000" w:themeColor="text1"/>
          <w:shd w:val="clear" w:color="auto" w:fill="FFFFFF"/>
        </w:rPr>
        <w:t>(4) must</w:t>
      </w:r>
      <w:r w:rsidRPr="00682622">
        <w:rPr>
          <w:color w:val="000000" w:themeColor="text1"/>
          <w:u w:val="single" w:color="000000" w:themeColor="text1"/>
          <w:shd w:val="clear" w:color="auto" w:fill="FFFFFF"/>
        </w:rPr>
        <w:t xml:space="preserve"> be adjusted annually in accordance with the Consumer </w:t>
      </w:r>
      <w:r w:rsidRPr="00682622">
        <w:rPr>
          <w:bCs/>
          <w:color w:val="000000" w:themeColor="text1"/>
          <w:u w:val="single" w:color="000000" w:themeColor="text1"/>
          <w:shd w:val="clear" w:color="auto" w:fill="FFFFFF"/>
        </w:rPr>
        <w:t>Price Index</w:t>
      </w:r>
      <w:r w:rsidRPr="00682622">
        <w:rPr>
          <w:color w:val="000000" w:themeColor="text1"/>
          <w:u w:val="single" w:color="000000" w:themeColor="text1"/>
          <w:shd w:val="clear" w:color="auto" w:fill="FFFFFF"/>
        </w:rPr>
        <w:t> for all Urban Consumers</w:t>
      </w:r>
      <w:r w:rsidR="00C70A02">
        <w:rPr>
          <w:color w:val="000000" w:themeColor="text1"/>
          <w:u w:val="single" w:color="000000" w:themeColor="text1"/>
          <w:shd w:val="clear" w:color="auto" w:fill="FFFFFF"/>
        </w:rPr>
        <w:t xml:space="preserve"> </w:t>
      </w:r>
      <w:r w:rsidR="00C70A02" w:rsidRPr="00C70A02">
        <w:rPr>
          <w:color w:val="000000" w:themeColor="text1"/>
          <w:u w:val="single" w:color="000000" w:themeColor="text1"/>
          <w:shd w:val="clear" w:color="auto" w:fill="FFFFFF"/>
        </w:rPr>
        <w:t>(CPI</w:t>
      </w:r>
      <w:r w:rsidR="00C70A02" w:rsidRPr="00C70A02">
        <w:rPr>
          <w:color w:val="000000" w:themeColor="text1"/>
          <w:u w:val="single" w:color="000000" w:themeColor="text1"/>
          <w:shd w:val="clear" w:color="auto" w:fill="FFFFFF"/>
        </w:rPr>
        <w:noBreakHyphen/>
        <w:t>U)</w:t>
      </w:r>
      <w:r w:rsidRPr="00C70A02">
        <w:rPr>
          <w:color w:val="000000" w:themeColor="text1"/>
          <w:u w:val="single" w:color="000000" w:themeColor="text1"/>
          <w:shd w:val="clear" w:color="auto" w:fill="FFFFFF"/>
        </w:rPr>
        <w:t>,</w:t>
      </w:r>
      <w:r w:rsidRPr="00682622">
        <w:rPr>
          <w:color w:val="000000" w:themeColor="text1"/>
          <w:u w:val="single" w:color="000000" w:themeColor="text1"/>
          <w:shd w:val="clear" w:color="auto" w:fill="FFFFFF"/>
        </w:rPr>
        <w:t xml:space="preserve"> South Region, published by the U.S. Department of Labor. The Insurance Reserve Fund is responsible for calculating this annual adjustment, which is effective on July first of each year, starting July 1, 2020. As soon as practicable after this adjustment is calculated, the Director of the Insurance Reserve Fund shall </w:t>
      </w:r>
      <w:r w:rsidR="00C179B8">
        <w:rPr>
          <w:color w:val="000000" w:themeColor="text1"/>
          <w:u w:val="single" w:color="000000" w:themeColor="text1"/>
          <w:shd w:val="clear" w:color="auto" w:fill="FFFFFF"/>
        </w:rPr>
        <w:t>publish</w:t>
      </w:r>
      <w:r w:rsidRPr="00682622">
        <w:rPr>
          <w:color w:val="000000" w:themeColor="text1"/>
          <w:u w:val="single" w:color="000000" w:themeColor="text1"/>
          <w:shd w:val="clear" w:color="auto" w:fill="FFFFFF"/>
        </w:rPr>
        <w:t xml:space="preserve"> the revised limitation on the amount that can be recovered for losses </w:t>
      </w:r>
      <w:r w:rsidR="00C179B8">
        <w:rPr>
          <w:color w:val="000000" w:themeColor="text1"/>
          <w:u w:val="single" w:color="000000" w:themeColor="text1"/>
          <w:shd w:val="clear" w:color="auto" w:fill="FFFFFF"/>
        </w:rPr>
        <w:t>on the Insurance Reserve Fund’s internet website</w:t>
      </w:r>
      <w:r w:rsidRPr="00682622">
        <w:rPr>
          <w:color w:val="000000" w:themeColor="text1"/>
          <w:u w:val="single" w:color="000000" w:themeColor="text1"/>
          <w:shd w:val="clear" w:color="auto" w:fill="FFFFFF"/>
        </w:rPr>
        <w:t>.</w:t>
      </w:r>
      <w:r w:rsidR="005F10DA">
        <w:rPr>
          <w:color w:val="000000" w:themeColor="text1"/>
          <w:u w:color="000000" w:themeColor="text1"/>
          <w:shd w:val="clear" w:color="auto" w:fill="FFFFFF"/>
        </w:rPr>
        <w:t>”</w:t>
      </w:r>
    </w:p>
    <w:p w14:paraId="77AA4610"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EC8A0" w14:textId="77777777" w:rsidR="00ED005C" w:rsidRPr="00522CE0"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3CEB">
        <w:rPr>
          <w:rFonts w:eastAsia="Times New Roman"/>
        </w:rPr>
        <w:t>2</w:t>
      </w:r>
      <w:r>
        <w:rPr>
          <w:rFonts w:eastAsia="Times New Roman"/>
        </w:rPr>
        <w:t>.</w:t>
      </w:r>
      <w:r>
        <w:rPr>
          <w:rFonts w:eastAsia="Times New Roman"/>
        </w:rPr>
        <w:tab/>
        <w:t>This act takes effect upon approval by the Governor.</w:t>
      </w:r>
    </w:p>
    <w:p w14:paraId="4ECC7E30" w14:textId="69DC829B" w:rsidR="00295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5EF8A93" w14:textId="77777777" w:rsidR="00083CA7" w:rsidRDefault="00083CA7" w:rsidP="00083CA7">
      <w:pPr>
        <w:suppressAutoHyphens/>
        <w:jc w:val="both"/>
        <w:rPr>
          <w:rFonts w:eastAsia="Times New Roman"/>
        </w:rPr>
      </w:pPr>
    </w:p>
    <w:sectPr w:rsidR="00083CA7" w:rsidSect="00610F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69EB59-99ED-4DCF-9C92-C672A57CF250}"/>
    <w:embedBold r:id="rId2" w:fontKey="{58430505-8EA4-43AE-849B-6D14F0DEB51F}"/>
  </w:font>
  <w:font w:name="Calibri">
    <w:panose1 w:val="020F0502020204030204"/>
    <w:charset w:val="00"/>
    <w:family w:val="swiss"/>
    <w:pitch w:val="variable"/>
    <w:sig w:usb0="E0002AFF" w:usb1="C000247B" w:usb2="00000009" w:usb3="00000000" w:csb0="000001FF" w:csb1="00000000"/>
    <w:embedRegular r:id="rId3" w:fontKey="{BB1FC1AB-5A96-4912-A295-0630B7345D0D}"/>
    <w:embedBold r:id="rId4" w:fontKey="{FAF7DD73-04BF-4F40-811A-6F1C24A14816}"/>
  </w:font>
  <w:font w:name="Segoe UI">
    <w:panose1 w:val="020B0502040204020203"/>
    <w:charset w:val="00"/>
    <w:family w:val="swiss"/>
    <w:pitch w:val="variable"/>
    <w:sig w:usb0="E4002EFF" w:usb1="C000E47F" w:usb2="00000009" w:usb3="00000000" w:csb0="000001FF" w:csb1="00000000"/>
    <w:embedRegular r:id="rId5" w:fontKey="{F11387AB-287D-4A6F-BF71-943939C6CD96}"/>
  </w:font>
  <w:font w:name="Cambria">
    <w:panose1 w:val="02040503050406030204"/>
    <w:charset w:val="00"/>
    <w:family w:val="roman"/>
    <w:pitch w:val="variable"/>
    <w:sig w:usb0="E00006FF" w:usb1="420024FF" w:usb2="02000000" w:usb3="00000000" w:csb0="0000019F" w:csb1="00000000"/>
    <w:embedRegular r:id="rId6" w:fontKey="{776D7B38-D994-40CF-85A0-DC96A56A5BD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6958A" w14:textId="61DB32DB" w:rsidR="00295CF3" w:rsidRPr="00566E47" w:rsidRDefault="00566E47" w:rsidP="00566E47">
    <w:pPr>
      <w:pStyle w:val="Footer"/>
      <w:tabs>
        <w:tab w:val="clear" w:pos="4680"/>
        <w:tab w:val="clear" w:pos="9360"/>
        <w:tab w:val="center" w:pos="2995"/>
      </w:tabs>
      <w:spacing w:before="120"/>
    </w:pPr>
    <w:r>
      <w:t>[7</w:t>
    </w:r>
    <w:r w:rsidR="00610F85">
      <w:t>-</w:t>
    </w:r>
    <w:r w:rsidR="00610F85">
      <w:fldChar w:fldCharType="begin"/>
    </w:r>
    <w:r w:rsidR="00610F85">
      <w:instrText xml:space="preserve"> PAGE  \* MERGEFORMAT </w:instrText>
    </w:r>
    <w:r w:rsidR="00610F85">
      <w:fldChar w:fldCharType="separate"/>
    </w:r>
    <w:r w:rsidR="00083CA7">
      <w:rPr>
        <w:noProof/>
      </w:rPr>
      <w:t>2</w:t>
    </w:r>
    <w:r w:rsidR="00610F85">
      <w:fldChar w:fldCharType="end"/>
    </w:r>
    <w:r w:rsidR="00610F8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2155" w14:textId="3C04DA1A" w:rsidR="00610F85" w:rsidRPr="00566E47" w:rsidRDefault="00610F85"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083CA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42AC1"/>
    <w:rsid w:val="00046516"/>
    <w:rsid w:val="00083CA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5CF3"/>
    <w:rsid w:val="002A452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2B0"/>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F10DA"/>
    <w:rsid w:val="005F15E4"/>
    <w:rsid w:val="00600221"/>
    <w:rsid w:val="00606D23"/>
    <w:rsid w:val="00610F85"/>
    <w:rsid w:val="00641A16"/>
    <w:rsid w:val="006431BA"/>
    <w:rsid w:val="00685F70"/>
    <w:rsid w:val="006B4B3C"/>
    <w:rsid w:val="006C74EA"/>
    <w:rsid w:val="00720D40"/>
    <w:rsid w:val="0073026D"/>
    <w:rsid w:val="007311B4"/>
    <w:rsid w:val="007318D4"/>
    <w:rsid w:val="007438F7"/>
    <w:rsid w:val="00746551"/>
    <w:rsid w:val="0076552B"/>
    <w:rsid w:val="00765784"/>
    <w:rsid w:val="00785E76"/>
    <w:rsid w:val="007A4390"/>
    <w:rsid w:val="007C65B0"/>
    <w:rsid w:val="007E3B8F"/>
    <w:rsid w:val="007E5CB7"/>
    <w:rsid w:val="00814EED"/>
    <w:rsid w:val="008314D2"/>
    <w:rsid w:val="00834860"/>
    <w:rsid w:val="00880111"/>
    <w:rsid w:val="008804AE"/>
    <w:rsid w:val="00894939"/>
    <w:rsid w:val="008B2F42"/>
    <w:rsid w:val="008C38D2"/>
    <w:rsid w:val="008E07E6"/>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79B8"/>
    <w:rsid w:val="00C23348"/>
    <w:rsid w:val="00C6454A"/>
    <w:rsid w:val="00C70A02"/>
    <w:rsid w:val="00C74052"/>
    <w:rsid w:val="00C9729D"/>
    <w:rsid w:val="00CB187A"/>
    <w:rsid w:val="00CD1843"/>
    <w:rsid w:val="00CD7C71"/>
    <w:rsid w:val="00D05246"/>
    <w:rsid w:val="00D1088B"/>
    <w:rsid w:val="00D123BB"/>
    <w:rsid w:val="00D156D2"/>
    <w:rsid w:val="00D22551"/>
    <w:rsid w:val="00D77EC0"/>
    <w:rsid w:val="00D86943"/>
    <w:rsid w:val="00DA47B9"/>
    <w:rsid w:val="00E677A1"/>
    <w:rsid w:val="00E91E2F"/>
    <w:rsid w:val="00EA3546"/>
    <w:rsid w:val="00EB1AAC"/>
    <w:rsid w:val="00EB47AE"/>
    <w:rsid w:val="00EC34E1"/>
    <w:rsid w:val="00ED005C"/>
    <w:rsid w:val="00ED0AE1"/>
    <w:rsid w:val="00F0234A"/>
    <w:rsid w:val="00F25626"/>
    <w:rsid w:val="00F52959"/>
    <w:rsid w:val="00F532D4"/>
    <w:rsid w:val="00F55884"/>
    <w:rsid w:val="00F63E98"/>
    <w:rsid w:val="00F947C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1B94567</Template>
  <TotalTime>0</TotalTime>
  <Pages>4</Pages>
  <Words>934</Words>
  <Characters>4825</Characters>
  <Application>Microsoft Office Word</Application>
  <DocSecurity>0</DocSecurity>
  <Lines>132</Lines>
  <Paragraphs>32</Paragraphs>
  <ScaleCrop>false</ScaleCrop>
  <HeadingPairs>
    <vt:vector size="2" baseType="variant">
      <vt:variant>
        <vt:lpstr>Title</vt:lpstr>
      </vt:variant>
      <vt:variant>
        <vt:i4>1</vt:i4>
      </vt:variant>
    </vt:vector>
  </HeadingPairs>
  <TitlesOfParts>
    <vt:vector size="1" baseType="lpstr">
      <vt:lpstr>2019-2020 Bill 7 Text of Previous Version (Dec. 12, 2018) - South Carolina Legislature Online</vt:lpstr>
    </vt:vector>
  </TitlesOfParts>
  <Company>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Text of Previous Version (Jan. 23, 2019) - South Carolina Legislature Online</dc:title>
  <dc:subject/>
  <dc:creator>Johanna Valenzuela</dc:creator>
  <cp:keywords/>
  <dc:description/>
  <cp:lastModifiedBy>Miriam Cook</cp:lastModifiedBy>
  <cp:revision>2</cp:revision>
  <cp:lastPrinted>2019-01-24T00:16:00Z</cp:lastPrinted>
  <dcterms:created xsi:type="dcterms:W3CDTF">2019-01-24T00:20:00Z</dcterms:created>
  <dcterms:modified xsi:type="dcterms:W3CDTF">2019-01-24T00:20:00Z</dcterms:modified>
</cp:coreProperties>
</file>