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F2ED8" w14:textId="4D493289" w:rsidR="00B47F98" w:rsidRDefault="00B47F98" w:rsidP="00B47F98">
      <w:pPr>
        <w:widowControl w:val="0"/>
        <w:jc w:val="center"/>
      </w:pPr>
      <w:r w:rsidRPr="00B47F98">
        <w:rPr>
          <w:b/>
        </w:rPr>
        <w:t>South Carolina General Assembly</w:t>
      </w:r>
    </w:p>
    <w:p w14:paraId="0C248D7C" w14:textId="53DCADA0" w:rsidR="00B47F98" w:rsidRDefault="00B47F98" w:rsidP="00B47F98">
      <w:pPr>
        <w:widowControl w:val="0"/>
        <w:jc w:val="center"/>
      </w:pPr>
      <w:r>
        <w:t>124th Session, 2021-2022</w:t>
      </w:r>
    </w:p>
    <w:p w14:paraId="53FDAADD" w14:textId="4590D506" w:rsidR="00B47F98" w:rsidRDefault="00B47F98" w:rsidP="00B47F98">
      <w:pPr>
        <w:widowControl w:val="0"/>
      </w:pPr>
    </w:p>
    <w:p w14:paraId="604920DE" w14:textId="492F16B6" w:rsidR="00B47F98" w:rsidRDefault="00B47F98" w:rsidP="00B47F98">
      <w:pPr>
        <w:widowControl w:val="0"/>
        <w:rPr>
          <w:b/>
        </w:rPr>
      </w:pPr>
      <w:r w:rsidRPr="00B47F98">
        <w:rPr>
          <w:b/>
        </w:rPr>
        <w:t>S.</w:t>
      </w:r>
      <w:r>
        <w:rPr>
          <w:b/>
        </w:rPr>
        <w:t xml:space="preserve"> </w:t>
      </w:r>
      <w:r w:rsidRPr="00B47F98">
        <w:rPr>
          <w:b/>
        </w:rPr>
        <w:t>1208</w:t>
      </w:r>
    </w:p>
    <w:p w14:paraId="2E8721A1" w14:textId="1121EB58" w:rsidR="00B47F98" w:rsidRDefault="00B47F98" w:rsidP="00B47F98">
      <w:pPr>
        <w:widowControl w:val="0"/>
        <w:rPr>
          <w:b/>
        </w:rPr>
      </w:pPr>
    </w:p>
    <w:p w14:paraId="5D4E37E1" w14:textId="6F9A8FCC" w:rsidR="00B47F98" w:rsidRDefault="00B47F98" w:rsidP="00B47F98">
      <w:pPr>
        <w:widowControl w:val="0"/>
      </w:pPr>
      <w:r w:rsidRPr="00B47F98">
        <w:rPr>
          <w:b/>
        </w:rPr>
        <w:t>STATUS INFORMATION</w:t>
      </w:r>
    </w:p>
    <w:p w14:paraId="178B6B3D" w14:textId="5A9DCCD0" w:rsidR="00B47F98" w:rsidRDefault="00B47F98" w:rsidP="00B47F98">
      <w:pPr>
        <w:widowControl w:val="0"/>
      </w:pPr>
    </w:p>
    <w:p w14:paraId="72C7369A" w14:textId="4E86E0E1" w:rsidR="00B47F98" w:rsidRDefault="00B47F98" w:rsidP="00B47F98">
      <w:pPr>
        <w:widowControl w:val="0"/>
      </w:pPr>
      <w:r>
        <w:t>General Bill</w:t>
      </w:r>
    </w:p>
    <w:p w14:paraId="276DE3DE" w14:textId="317D3E63" w:rsidR="00B47F98" w:rsidRDefault="00B47F98" w:rsidP="00B47F98">
      <w:pPr>
        <w:widowControl w:val="0"/>
      </w:pPr>
      <w:r>
        <w:t>Sponsors: Senator Climer</w:t>
      </w:r>
    </w:p>
    <w:p w14:paraId="2CCF2000" w14:textId="594D0D9E" w:rsidR="00B47F98" w:rsidRDefault="00B47F98" w:rsidP="00B47F98">
      <w:pPr>
        <w:widowControl w:val="0"/>
      </w:pPr>
      <w:r>
        <w:t>Document Path: l:\s-res\wc\033purp.kmm.wc.docx</w:t>
      </w:r>
    </w:p>
    <w:p w14:paraId="7C104D7F" w14:textId="1879FEF2" w:rsidR="00B47F98" w:rsidRDefault="00B47F98" w:rsidP="00B47F98">
      <w:pPr>
        <w:widowControl w:val="0"/>
      </w:pPr>
    </w:p>
    <w:p w14:paraId="550C9DB3" w14:textId="77777777" w:rsidR="00B47F98" w:rsidRDefault="00B47F98" w:rsidP="00B47F98">
      <w:pPr>
        <w:widowControl w:val="0"/>
      </w:pPr>
      <w:r>
        <w:t>Introduced in the Senate on March 29, 2022</w:t>
      </w:r>
    </w:p>
    <w:p w14:paraId="194590EA" w14:textId="0398F789" w:rsidR="00B47F98" w:rsidRDefault="00B47F98" w:rsidP="00B47F98">
      <w:pPr>
        <w:widowControl w:val="0"/>
      </w:pPr>
      <w:r>
        <w:t xml:space="preserve">Currently residing in the Senate Committee on </w:t>
      </w:r>
      <w:r w:rsidRPr="00B47F98">
        <w:rPr>
          <w:b/>
        </w:rPr>
        <w:t>Agriculture and Natural Resources</w:t>
      </w:r>
    </w:p>
    <w:p w14:paraId="1E5CFABE" w14:textId="700C18CC" w:rsidR="00B47F98" w:rsidRDefault="00B47F98" w:rsidP="00B47F98">
      <w:pPr>
        <w:widowControl w:val="0"/>
      </w:pPr>
    </w:p>
    <w:p w14:paraId="1B2038C8" w14:textId="151EA377" w:rsidR="00B47F98" w:rsidRDefault="005D730D" w:rsidP="00B47F98">
      <w:pPr>
        <w:widowControl w:val="0"/>
      </w:pPr>
      <w:r>
        <w:t>Summary: Animals, livestock and poultry</w:t>
      </w:r>
    </w:p>
    <w:p w14:paraId="0252499C" w14:textId="29DE9DDF" w:rsidR="00B47F98" w:rsidRDefault="00B47F98" w:rsidP="00B47F98">
      <w:pPr>
        <w:widowControl w:val="0"/>
      </w:pPr>
    </w:p>
    <w:p w14:paraId="5C5B3054" w14:textId="3159FFD3" w:rsidR="00B47F98" w:rsidRDefault="00B47F98" w:rsidP="00B47F98">
      <w:pPr>
        <w:widowControl w:val="0"/>
      </w:pPr>
    </w:p>
    <w:p w14:paraId="64B81E69" w14:textId="6EF341F4" w:rsidR="00B47F98" w:rsidRDefault="00B47F98" w:rsidP="00B47F98">
      <w:pPr>
        <w:widowControl w:val="0"/>
        <w:tabs>
          <w:tab w:val="center" w:pos="590"/>
          <w:tab w:val="center" w:pos="1440"/>
          <w:tab w:val="left" w:pos="1872"/>
          <w:tab w:val="left" w:pos="9187"/>
        </w:tabs>
      </w:pPr>
      <w:r w:rsidRPr="00B47F98">
        <w:rPr>
          <w:b/>
        </w:rPr>
        <w:t>HISTORY OF LEGISLATIVE ACTIONS</w:t>
      </w:r>
    </w:p>
    <w:p w14:paraId="05362202" w14:textId="08C35DA7" w:rsidR="00B47F98" w:rsidRDefault="00B47F98" w:rsidP="00B47F98">
      <w:pPr>
        <w:widowControl w:val="0"/>
        <w:tabs>
          <w:tab w:val="center" w:pos="590"/>
          <w:tab w:val="center" w:pos="1440"/>
          <w:tab w:val="left" w:pos="1872"/>
          <w:tab w:val="left" w:pos="9187"/>
        </w:tabs>
      </w:pPr>
    </w:p>
    <w:p w14:paraId="49EC889D" w14:textId="1241CAAD" w:rsidR="00B47F98" w:rsidRPr="00B47F98" w:rsidRDefault="00B47F98" w:rsidP="00B47F98">
      <w:pPr>
        <w:widowControl w:val="0"/>
        <w:tabs>
          <w:tab w:val="center" w:pos="590"/>
          <w:tab w:val="center" w:pos="1440"/>
          <w:tab w:val="left" w:pos="1872"/>
          <w:tab w:val="left" w:pos="9187"/>
        </w:tabs>
      </w:pPr>
      <w:r w:rsidRPr="00B47F98">
        <w:rPr>
          <w:u w:val="single"/>
        </w:rPr>
        <w:tab/>
        <w:t>Date</w:t>
      </w:r>
      <w:r w:rsidRPr="00B47F98">
        <w:rPr>
          <w:u w:val="single"/>
        </w:rPr>
        <w:tab/>
        <w:t>Body</w:t>
      </w:r>
      <w:r w:rsidRPr="00B47F98">
        <w:rPr>
          <w:u w:val="single"/>
        </w:rPr>
        <w:tab/>
        <w:t>Action Description with journal page number</w:t>
      </w:r>
      <w:r w:rsidRPr="00B47F98">
        <w:rPr>
          <w:u w:val="single"/>
        </w:rPr>
        <w:tab/>
      </w:r>
    </w:p>
    <w:p w14:paraId="4F63E33C" w14:textId="77777777" w:rsidR="00D517A5" w:rsidRDefault="00D517A5" w:rsidP="00D517A5">
      <w:pPr>
        <w:widowControl w:val="0"/>
        <w:tabs>
          <w:tab w:val="right" w:pos="1008"/>
          <w:tab w:val="left" w:pos="1152"/>
          <w:tab w:val="left" w:pos="1872"/>
          <w:tab w:val="left" w:pos="9187"/>
        </w:tabs>
        <w:ind w:left="2088" w:hanging="2088"/>
      </w:pPr>
      <w:r>
        <w:tab/>
        <w:t>3/29/2022</w:t>
      </w:r>
      <w:r>
        <w:tab/>
        <w:t>Senate</w:t>
      </w:r>
      <w:r>
        <w:tab/>
        <w:t>Introduced and read first time (</w:t>
      </w:r>
      <w:hyperlink r:id="rId6" w:history="1">
        <w:r w:rsidRPr="00F85509">
          <w:rPr>
            <w:rStyle w:val="Hyperlink"/>
          </w:rPr>
          <w:t>Senate Journal</w:t>
        </w:r>
        <w:r w:rsidRPr="00F85509">
          <w:rPr>
            <w:rStyle w:val="Hyperlink"/>
          </w:rPr>
          <w:noBreakHyphen/>
          <w:t>page 6</w:t>
        </w:r>
      </w:hyperlink>
      <w:r>
        <w:t>)</w:t>
      </w:r>
    </w:p>
    <w:p w14:paraId="46116650" w14:textId="77777777" w:rsidR="00D517A5" w:rsidRDefault="00D517A5" w:rsidP="00D517A5">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F85509">
        <w:rPr>
          <w:b/>
        </w:rPr>
        <w:t>Agriculture and Natural Resources</w:t>
      </w:r>
      <w:r>
        <w:t xml:space="preserve"> (</w:t>
      </w:r>
      <w:hyperlink r:id="rId7" w:history="1">
        <w:r w:rsidRPr="00F85509">
          <w:rPr>
            <w:rStyle w:val="Hyperlink"/>
          </w:rPr>
          <w:t>Senate Journal</w:t>
        </w:r>
        <w:r w:rsidRPr="00F85509">
          <w:rPr>
            <w:rStyle w:val="Hyperlink"/>
          </w:rPr>
          <w:noBreakHyphen/>
          <w:t>page 6</w:t>
        </w:r>
      </w:hyperlink>
      <w:r>
        <w:t>)</w:t>
      </w:r>
    </w:p>
    <w:p w14:paraId="248EEC06" w14:textId="77777777" w:rsidR="00D517A5" w:rsidRDefault="00D517A5" w:rsidP="00D517A5">
      <w:pPr>
        <w:widowControl w:val="0"/>
        <w:tabs>
          <w:tab w:val="right" w:pos="1008"/>
          <w:tab w:val="left" w:pos="1152"/>
          <w:tab w:val="left" w:pos="1872"/>
          <w:tab w:val="left" w:pos="9187"/>
        </w:tabs>
        <w:ind w:left="2088" w:hanging="2088"/>
      </w:pPr>
    </w:p>
    <w:p w14:paraId="1C6A4A8B" w14:textId="5F033E7F" w:rsidR="00B47F98" w:rsidRDefault="00B47F98" w:rsidP="00B47F9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47F98">
          <w:rPr>
            <w:rStyle w:val="Hyperlink"/>
          </w:rPr>
          <w:t>legislative information</w:t>
        </w:r>
      </w:hyperlink>
      <w:r>
        <w:t xml:space="preserve"> at the website</w:t>
      </w:r>
    </w:p>
    <w:p w14:paraId="1A8183DA" w14:textId="75AC0361" w:rsidR="00B47F98" w:rsidRDefault="00B47F98" w:rsidP="00B47F98">
      <w:pPr>
        <w:widowControl w:val="0"/>
        <w:tabs>
          <w:tab w:val="right" w:pos="1008"/>
          <w:tab w:val="left" w:pos="1152"/>
          <w:tab w:val="left" w:pos="1872"/>
          <w:tab w:val="left" w:pos="9187"/>
        </w:tabs>
        <w:ind w:left="2088" w:hanging="2088"/>
      </w:pPr>
    </w:p>
    <w:p w14:paraId="630AA17D" w14:textId="77777777" w:rsidR="00B47F98" w:rsidRPr="00B47F98" w:rsidRDefault="00B47F98" w:rsidP="00B47F98">
      <w:pPr>
        <w:widowControl w:val="0"/>
        <w:tabs>
          <w:tab w:val="right" w:pos="1008"/>
          <w:tab w:val="left" w:pos="1152"/>
          <w:tab w:val="left" w:pos="1872"/>
          <w:tab w:val="left" w:pos="9187"/>
        </w:tabs>
        <w:ind w:left="2088" w:hanging="2088"/>
      </w:pPr>
    </w:p>
    <w:p w14:paraId="35FB4529" w14:textId="62CB9CEF" w:rsidR="00B47F98" w:rsidRDefault="00B47F98" w:rsidP="00B47F98">
      <w:pPr>
        <w:widowControl w:val="0"/>
      </w:pPr>
      <w:r w:rsidRPr="00B47F98">
        <w:rPr>
          <w:b/>
        </w:rPr>
        <w:t>VERSIONS OF THIS BILL</w:t>
      </w:r>
    </w:p>
    <w:p w14:paraId="3850728A" w14:textId="0146D953" w:rsidR="00B47F98" w:rsidRDefault="00B47F98" w:rsidP="00B47F98">
      <w:pPr>
        <w:widowControl w:val="0"/>
      </w:pPr>
    </w:p>
    <w:p w14:paraId="160BF9AE" w14:textId="7C984AC4" w:rsidR="00B47F98" w:rsidRDefault="00E11CE0" w:rsidP="00B47F98">
      <w:pPr>
        <w:widowControl w:val="0"/>
      </w:pPr>
      <w:hyperlink r:id="rId9" w:history="1">
        <w:r w:rsidR="00B47F98">
          <w:rPr>
            <w:rStyle w:val="Hyperlink"/>
          </w:rPr>
          <w:t>3/29/2022</w:t>
        </w:r>
      </w:hyperlink>
    </w:p>
    <w:p w14:paraId="77BF0892" w14:textId="77777777" w:rsidR="00B47F98" w:rsidRDefault="00B47F98" w:rsidP="00B47F98"/>
    <w:p w14:paraId="1AFE3DD2" w14:textId="31E9F73F" w:rsidR="00B47F98" w:rsidRDefault="00B47F98" w:rsidP="00B47F98">
      <w:pPr>
        <w:sectPr w:rsidR="00B47F98" w:rsidSect="00B47F98">
          <w:pgSz w:w="12240" w:h="15840" w:code="1"/>
          <w:pgMar w:top="1080" w:right="1440" w:bottom="1080" w:left="1440" w:header="720" w:footer="720" w:gutter="0"/>
          <w:cols w:space="720"/>
          <w:noEndnote/>
          <w:docGrid w:linePitch="360"/>
        </w:sectPr>
      </w:pPr>
    </w:p>
    <w:p w14:paraId="3326A023" w14:textId="2A18F867" w:rsidR="00E005EC" w:rsidRPr="00522CE0" w:rsidRDefault="00E005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D02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2E3D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012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BA0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02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F86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CF3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3EDD4" w14:textId="77777777" w:rsidR="00522CE0" w:rsidRPr="008F023B" w:rsidRDefault="00522CE0" w:rsidP="00E0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2365">
        <w:rPr>
          <w:rFonts w:eastAsia="Times New Roman"/>
          <w:b/>
          <w:sz w:val="30"/>
          <w:szCs w:val="30"/>
        </w:rPr>
        <w:t>BILL</w:t>
      </w:r>
    </w:p>
    <w:p w14:paraId="7D97AC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CBB15F" w14:textId="7D2BA288" w:rsidR="00522CE0" w:rsidRPr="00685A21" w:rsidRDefault="00685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CHAPTER 4, TITLE 47 OF THE 1976 CODE, RELATING TO ANIMALS, LIVESTOCK, AND POULTRY, </w:t>
      </w:r>
      <w:r w:rsidRPr="00BD5D62">
        <w:rPr>
          <w:color w:val="000000" w:themeColor="text1"/>
          <w:u w:color="000000" w:themeColor="text1"/>
        </w:rPr>
        <w:t>TO ALLOW CLEARLY VISIBLE PURPLE</w:t>
      </w:r>
      <w:r w:rsidR="001B4D49">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 xml:space="preserve"> TO SATISFY NOTICE OF PRIVATE PROPERTY BOUNDARIES.</w:t>
      </w:r>
    </w:p>
    <w:p w14:paraId="27605F2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72F4C9C"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C9AD6AA"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29F101"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5A21">
        <w:rPr>
          <w:rFonts w:eastAsia="Times New Roman"/>
        </w:rPr>
        <w:t>Chapter 4, Title 47 of the 1976 Code is amended by adding:</w:t>
      </w:r>
    </w:p>
    <w:p w14:paraId="230F8483" w14:textId="77777777" w:rsidR="00685A21" w:rsidRDefault="00685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B6491" w14:textId="1AE49F52"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C52D91">
        <w:rPr>
          <w:color w:val="000000" w:themeColor="text1"/>
          <w:u w:color="000000" w:themeColor="text1"/>
        </w:rPr>
        <w:t>Section 47</w:t>
      </w:r>
      <w:r w:rsidR="001B4D49">
        <w:rPr>
          <w:color w:val="000000" w:themeColor="text1"/>
          <w:u w:color="000000" w:themeColor="text1"/>
        </w:rPr>
        <w:noBreakHyphen/>
      </w:r>
      <w:r w:rsidRPr="00C52D91">
        <w:rPr>
          <w:color w:val="000000" w:themeColor="text1"/>
          <w:u w:color="000000" w:themeColor="text1"/>
        </w:rPr>
        <w:t>4</w:t>
      </w:r>
      <w:r w:rsidR="001B4D49">
        <w:rPr>
          <w:color w:val="000000" w:themeColor="text1"/>
          <w:u w:color="000000" w:themeColor="text1"/>
        </w:rPr>
        <w:noBreakHyphen/>
      </w:r>
      <w:r w:rsidRPr="00C52D91">
        <w:rPr>
          <w:color w:val="000000" w:themeColor="text1"/>
          <w:u w:color="000000" w:themeColor="text1"/>
        </w:rPr>
        <w:t>165.</w:t>
      </w:r>
      <w:r>
        <w:rPr>
          <w:color w:val="000000" w:themeColor="text1"/>
          <w:u w:color="000000" w:themeColor="text1"/>
        </w:rPr>
        <w:tab/>
      </w:r>
      <w:r w:rsidRPr="00C52D91">
        <w:rPr>
          <w:color w:val="000000" w:themeColor="text1"/>
          <w:u w:color="000000" w:themeColor="text1"/>
        </w:rPr>
        <w:t>(A)</w:t>
      </w:r>
      <w:r>
        <w:rPr>
          <w:color w:val="000000" w:themeColor="text1"/>
          <w:u w:color="000000" w:themeColor="text1"/>
        </w:rPr>
        <w:tab/>
      </w:r>
      <w:r w:rsidRPr="00C52D91">
        <w:rPr>
          <w:color w:val="000000" w:themeColor="text1"/>
          <w:u w:color="000000" w:themeColor="text1"/>
        </w:rPr>
        <w:t xml:space="preserve">Every entry upon the lands of another </w:t>
      </w:r>
      <w:r w:rsidR="00B23AA2">
        <w:rPr>
          <w:color w:val="000000" w:themeColor="text1"/>
          <w:u w:color="000000" w:themeColor="text1"/>
        </w:rPr>
        <w:t xml:space="preserve">person </w:t>
      </w:r>
      <w:r w:rsidRPr="00C52D91">
        <w:rPr>
          <w:color w:val="000000" w:themeColor="text1"/>
          <w:u w:color="000000" w:themeColor="text1"/>
        </w:rPr>
        <w:t>where any horse, mule, cow, hog, or any other livestock is pastured, or any other lands of another</w:t>
      </w:r>
      <w:r w:rsidR="00B23AA2">
        <w:rPr>
          <w:color w:val="000000" w:themeColor="text1"/>
          <w:u w:color="000000" w:themeColor="text1"/>
        </w:rPr>
        <w:t xml:space="preserve"> person</w:t>
      </w:r>
      <w:r w:rsidRPr="00C52D91">
        <w:rPr>
          <w:color w:val="000000" w:themeColor="text1"/>
          <w:u w:color="000000" w:themeColor="text1"/>
        </w:rPr>
        <w:t>, after notice from the owner or tenant has been posted prohibiting such entry is a misdemeanor and must be punished by a fine of not more than one hundred dollars or by imprisonment of not more than thirty days; or both.</w:t>
      </w:r>
    </w:p>
    <w:p w14:paraId="3E2DD363" w14:textId="346A5708"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52D91">
        <w:rPr>
          <w:color w:val="000000" w:themeColor="text1"/>
          <w:u w:color="000000" w:themeColor="text1"/>
        </w:rPr>
        <w:t>(B)</w:t>
      </w:r>
      <w:r>
        <w:rPr>
          <w:color w:val="000000" w:themeColor="text1"/>
          <w:u w:color="000000" w:themeColor="text1"/>
        </w:rPr>
        <w:tab/>
      </w:r>
      <w:r w:rsidRPr="00C52D91">
        <w:rPr>
          <w:color w:val="000000" w:themeColor="text1"/>
          <w:u w:color="000000" w:themeColor="text1"/>
        </w:rPr>
        <w:t xml:space="preserve">The notice requirement in subsection (A) may be </w:t>
      </w:r>
      <w:r w:rsidR="00B23AA2" w:rsidRPr="00C52D91">
        <w:rPr>
          <w:color w:val="000000" w:themeColor="text1"/>
          <w:u w:color="000000" w:themeColor="text1"/>
        </w:rPr>
        <w:t>satisfied</w:t>
      </w:r>
      <w:r w:rsidRPr="00C52D91">
        <w:rPr>
          <w:color w:val="000000" w:themeColor="text1"/>
          <w:u w:color="000000" w:themeColor="text1"/>
        </w:rPr>
        <w:t xml:space="preserve"> by:</w:t>
      </w:r>
    </w:p>
    <w:p w14:paraId="7F134617" w14:textId="3088A348"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52D91">
        <w:rPr>
          <w:color w:val="000000" w:themeColor="text1"/>
          <w:u w:color="000000" w:themeColor="text1"/>
        </w:rPr>
        <w:t>(1)</w:t>
      </w:r>
      <w:r>
        <w:rPr>
          <w:color w:val="000000" w:themeColor="text1"/>
          <w:u w:color="000000" w:themeColor="text1"/>
        </w:rPr>
        <w:tab/>
      </w:r>
      <w:r w:rsidRPr="00C52D91">
        <w:rPr>
          <w:color w:val="000000" w:themeColor="text1"/>
          <w:u w:color="000000" w:themeColor="text1"/>
        </w:rPr>
        <w:t>marking boundaries with a clearly visible purple</w:t>
      </w:r>
      <w:r w:rsidR="001B4D49">
        <w:rPr>
          <w:color w:val="000000" w:themeColor="text1"/>
          <w:u w:color="000000" w:themeColor="text1"/>
        </w:rPr>
        <w:noBreakHyphen/>
      </w:r>
      <w:r w:rsidRPr="00C52D91">
        <w:rPr>
          <w:color w:val="000000" w:themeColor="text1"/>
          <w:u w:color="000000" w:themeColor="text1"/>
        </w:rPr>
        <w:t>painted marking, consisting of one vertical line not less than 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 or</w:t>
      </w:r>
    </w:p>
    <w:p w14:paraId="2174EB5A" w14:textId="376C0F9D" w:rsidR="00685A21" w:rsidRPr="00C52D9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52D91">
        <w:rPr>
          <w:color w:val="000000" w:themeColor="text1"/>
          <w:u w:color="000000" w:themeColor="text1"/>
        </w:rPr>
        <w:t>(2)</w:t>
      </w:r>
      <w:r>
        <w:rPr>
          <w:color w:val="000000" w:themeColor="text1"/>
          <w:u w:color="000000" w:themeColor="text1"/>
        </w:rPr>
        <w:tab/>
      </w:r>
      <w:r w:rsidRPr="00C52D91">
        <w:rPr>
          <w:color w:val="000000" w:themeColor="text1"/>
          <w:u w:color="000000" w:themeColor="text1"/>
        </w:rPr>
        <w:t>meeting the requirements contained in Section 16</w:t>
      </w:r>
      <w:r w:rsidR="001B4D49">
        <w:rPr>
          <w:color w:val="000000" w:themeColor="text1"/>
          <w:u w:color="000000" w:themeColor="text1"/>
        </w:rPr>
        <w:noBreakHyphen/>
      </w:r>
      <w:r w:rsidRPr="00C52D91">
        <w:rPr>
          <w:color w:val="000000" w:themeColor="text1"/>
          <w:u w:color="000000" w:themeColor="text1"/>
        </w:rPr>
        <w:t>11</w:t>
      </w:r>
      <w:r w:rsidR="001B4D49">
        <w:rPr>
          <w:color w:val="000000" w:themeColor="text1"/>
          <w:u w:color="000000" w:themeColor="text1"/>
        </w:rPr>
        <w:noBreakHyphen/>
      </w:r>
      <w:r w:rsidRPr="00C52D91">
        <w:rPr>
          <w:color w:val="000000" w:themeColor="text1"/>
          <w:u w:color="000000" w:themeColor="text1"/>
        </w:rPr>
        <w:t>600.</w:t>
      </w:r>
    </w:p>
    <w:p w14:paraId="1D758D13" w14:textId="77777777" w:rsidR="00685A21" w:rsidRPr="00685A21" w:rsidRDefault="00685A21" w:rsidP="00685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C52D91">
        <w:rPr>
          <w:color w:val="000000" w:themeColor="text1"/>
          <w:u w:color="000000" w:themeColor="text1"/>
        </w:rPr>
        <w:t>(C)</w:t>
      </w:r>
      <w:r>
        <w:rPr>
          <w:color w:val="000000" w:themeColor="text1"/>
          <w:u w:color="000000" w:themeColor="text1"/>
        </w:rPr>
        <w:tab/>
      </w:r>
      <w:r w:rsidRPr="00C52D91">
        <w:rPr>
          <w:color w:val="000000" w:themeColor="text1"/>
          <w:u w:color="000000" w:themeColor="text1"/>
        </w:rPr>
        <w:t xml:space="preserve">When any owner or tenant of any lands shall post a notice as provided in subsection (B), a proof of the posting is deemed and </w:t>
      </w:r>
      <w:r w:rsidRPr="00C52D91">
        <w:rPr>
          <w:color w:val="000000" w:themeColor="text1"/>
          <w:u w:color="000000" w:themeColor="text1"/>
        </w:rPr>
        <w:lastRenderedPageBreak/>
        <w:t>taken as notice conclusive against the person making entry for the purpose of trespassing</w:t>
      </w:r>
      <w:r>
        <w:rPr>
          <w:color w:val="000000" w:themeColor="text1"/>
          <w:u w:color="000000" w:themeColor="text1"/>
        </w:rPr>
        <w:t>.”</w:t>
      </w:r>
    </w:p>
    <w:p w14:paraId="41B1E047" w14:textId="77777777" w:rsidR="006B2365"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F5DD7B" w14:textId="77777777" w:rsidR="006B2365" w:rsidRPr="00522CE0" w:rsidRDefault="006B23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5A21">
        <w:rPr>
          <w:rFonts w:eastAsia="Times New Roman"/>
        </w:rPr>
        <w:t>2</w:t>
      </w:r>
      <w:r>
        <w:rPr>
          <w:rFonts w:eastAsia="Times New Roman"/>
        </w:rPr>
        <w:t>.</w:t>
      </w:r>
      <w:r>
        <w:rPr>
          <w:rFonts w:eastAsia="Times New Roman"/>
        </w:rPr>
        <w:tab/>
        <w:t xml:space="preserve">This act takes effect </w:t>
      </w:r>
      <w:r w:rsidR="00685A21">
        <w:rPr>
          <w:rFonts w:eastAsia="Times New Roman"/>
        </w:rPr>
        <w:t xml:space="preserve">six months after </w:t>
      </w:r>
      <w:r>
        <w:rPr>
          <w:rFonts w:eastAsia="Times New Roman"/>
        </w:rPr>
        <w:t>approval by the Governor.</w:t>
      </w:r>
    </w:p>
    <w:p w14:paraId="3344476E" w14:textId="00CDCE6D" w:rsidR="00741BC8" w:rsidRDefault="001B4D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E096DC3" w14:textId="77777777" w:rsidR="00B47F98" w:rsidRDefault="00B47F98" w:rsidP="00B47F98">
      <w:pPr>
        <w:suppressAutoHyphens/>
        <w:jc w:val="both"/>
        <w:rPr>
          <w:rFonts w:eastAsia="Times New Roman"/>
        </w:rPr>
      </w:pPr>
    </w:p>
    <w:sectPr w:rsidR="00B47F98" w:rsidSect="00B47F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61CF6" w14:textId="77777777" w:rsidR="006B2365" w:rsidRDefault="006B2365" w:rsidP="00522CE0">
      <w:r>
        <w:separator/>
      </w:r>
    </w:p>
  </w:endnote>
  <w:endnote w:type="continuationSeparator" w:id="0">
    <w:p w14:paraId="7DAA4E9D" w14:textId="77777777" w:rsidR="006B2365" w:rsidRDefault="006B23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E0AA0A-93B5-40A9-A724-CE9F872CCA45}"/>
    <w:embedBold r:id="rId2" w:fontKey="{B29AF48D-559C-415E-96C0-18E666A6409A}"/>
  </w:font>
  <w:font w:name="Calibri">
    <w:panose1 w:val="020F0502020204030204"/>
    <w:charset w:val="00"/>
    <w:family w:val="swiss"/>
    <w:pitch w:val="variable"/>
    <w:sig w:usb0="E4002EFF" w:usb1="C000247B" w:usb2="00000009" w:usb3="00000000" w:csb0="000001FF" w:csb1="00000000"/>
    <w:embedRegular r:id="rId3" w:fontKey="{2C3E59AC-7724-487C-822B-09420A538246}"/>
    <w:embedBold r:id="rId4" w:fontKey="{76F82036-F2BC-4534-BD0B-876FDFC8A6F7}"/>
  </w:font>
  <w:font w:name="Cambria">
    <w:panose1 w:val="02040503050406030204"/>
    <w:charset w:val="00"/>
    <w:family w:val="roman"/>
    <w:pitch w:val="variable"/>
    <w:sig w:usb0="E00006FF" w:usb1="420024FF" w:usb2="02000000" w:usb3="00000000" w:csb0="0000019F" w:csb1="00000000"/>
    <w:embedRegular r:id="rId5" w:fontKey="{AC2CB3AE-A986-40A2-B293-B8CA7B7A66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EFDAF" w14:textId="346F0827" w:rsidR="00B47F98" w:rsidRPr="00E005EC" w:rsidRDefault="00B47F98" w:rsidP="00E005EC">
    <w:pPr>
      <w:pStyle w:val="Footer"/>
      <w:tabs>
        <w:tab w:val="clear" w:pos="4680"/>
        <w:tab w:val="clear" w:pos="9360"/>
        <w:tab w:val="center" w:pos="2995"/>
      </w:tabs>
      <w:spacing w:before="120"/>
    </w:pPr>
    <w:r>
      <w:t>[1208]</w:t>
    </w:r>
    <w:r>
      <w:tab/>
    </w:r>
    <w:r>
      <w:fldChar w:fldCharType="begin"/>
    </w:r>
    <w:r>
      <w:instrText xml:space="preserve"> PAGE  \* MERGEFORMAT </w:instrText>
    </w:r>
    <w:r>
      <w:fldChar w:fldCharType="separate"/>
    </w:r>
    <w:r w:rsidR="005D73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15749" w14:textId="77777777" w:rsidR="006B2365" w:rsidRDefault="006B2365" w:rsidP="00522CE0">
      <w:r>
        <w:separator/>
      </w:r>
    </w:p>
  </w:footnote>
  <w:footnote w:type="continuationSeparator" w:id="0">
    <w:p w14:paraId="0C3B9F18" w14:textId="77777777" w:rsidR="006B2365" w:rsidRDefault="006B23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URP.KMM.WC"/>
    <w:docVar w:name="CoverAttorneyInitials" w:val="KMM"/>
    <w:docVar w:name="CoverAttorneyLastName" w:val="Moffitt"/>
    <w:docVar w:name="CoverBillType" w:val="b"/>
    <w:docVar w:name="CoverSenator" w:val="WC"/>
    <w:docVar w:name="dvBillNumber" w:val="1208"/>
    <w:docVar w:name="dvBillNumberPrefix" w:val="S. "/>
    <w:docVar w:name="dvOriginalBody" w:val="Senate"/>
    <w:docVar w:name="fulldraftpath" w:val="L:\S-RES\WC\033PURP.KMM.WC.DOCX"/>
    <w:docVar w:name="NameofBody" w:val="S"/>
    <w:docVar w:name="vgroup2" w:val="S-RES"/>
  </w:docVars>
  <w:rsids>
    <w:rsidRoot w:val="006B2365"/>
    <w:rsid w:val="00042AC1"/>
    <w:rsid w:val="00046516"/>
    <w:rsid w:val="00072458"/>
    <w:rsid w:val="0007601D"/>
    <w:rsid w:val="000B0720"/>
    <w:rsid w:val="000B5EAF"/>
    <w:rsid w:val="000C520B"/>
    <w:rsid w:val="00123C90"/>
    <w:rsid w:val="001315B2"/>
    <w:rsid w:val="00170561"/>
    <w:rsid w:val="00174988"/>
    <w:rsid w:val="00186AC9"/>
    <w:rsid w:val="00197DF1"/>
    <w:rsid w:val="001B3DD9"/>
    <w:rsid w:val="001B4D4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D7F37"/>
    <w:rsid w:val="004E67B2"/>
    <w:rsid w:val="00522CE0"/>
    <w:rsid w:val="00541951"/>
    <w:rsid w:val="00565148"/>
    <w:rsid w:val="00570403"/>
    <w:rsid w:val="00577450"/>
    <w:rsid w:val="00593361"/>
    <w:rsid w:val="005A413B"/>
    <w:rsid w:val="005A5017"/>
    <w:rsid w:val="005A648C"/>
    <w:rsid w:val="005D730D"/>
    <w:rsid w:val="005F07AC"/>
    <w:rsid w:val="005F1745"/>
    <w:rsid w:val="00685A21"/>
    <w:rsid w:val="006A1802"/>
    <w:rsid w:val="006B2365"/>
    <w:rsid w:val="006C0CBB"/>
    <w:rsid w:val="006C74EA"/>
    <w:rsid w:val="006F56CF"/>
    <w:rsid w:val="00720D40"/>
    <w:rsid w:val="007318D4"/>
    <w:rsid w:val="00741BC8"/>
    <w:rsid w:val="00765784"/>
    <w:rsid w:val="007705EE"/>
    <w:rsid w:val="007A4390"/>
    <w:rsid w:val="007A6D5D"/>
    <w:rsid w:val="007E5CB7"/>
    <w:rsid w:val="008314D2"/>
    <w:rsid w:val="00870F6F"/>
    <w:rsid w:val="008B2F42"/>
    <w:rsid w:val="008C3697"/>
    <w:rsid w:val="008E185F"/>
    <w:rsid w:val="008E5580"/>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3AA2"/>
    <w:rsid w:val="00B47F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17A5"/>
    <w:rsid w:val="00D53E29"/>
    <w:rsid w:val="00D86943"/>
    <w:rsid w:val="00DA3C6B"/>
    <w:rsid w:val="00DA47B9"/>
    <w:rsid w:val="00DE5635"/>
    <w:rsid w:val="00E005EC"/>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89EF6D"/>
  <w15:docId w15:val="{FBCA1488-0FCB-458A-BFDD-BCB78CD1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47F98"/>
    <w:rPr>
      <w:color w:val="0000FF" w:themeColor="hyperlink"/>
      <w:u w:val="single"/>
    </w:rPr>
  </w:style>
  <w:style w:type="character" w:customStyle="1" w:styleId="UnresolvedMention">
    <w:name w:val="Unresolved Mention"/>
    <w:basedOn w:val="DefaultParagraphFont"/>
    <w:uiPriority w:val="99"/>
    <w:semiHidden/>
    <w:unhideWhenUsed/>
    <w:rsid w:val="00B47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08&amp;session=124&amp;summary=B" TargetMode="External"/><Relationship Id="rId3" Type="http://schemas.openxmlformats.org/officeDocument/2006/relationships/webSettings" Target="webSettings.xml"/><Relationship Id="rId7" Type="http://schemas.openxmlformats.org/officeDocument/2006/relationships/hyperlink" Target="file:///h:\sj\2022032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32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08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2178</Characters>
  <Application>Microsoft Office Word</Application>
  <DocSecurity>0</DocSecurity>
  <Lines>48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1208: Subject not yet available - South Carolina Legislature Online</dc:title>
  <dc:subject/>
  <dc:creator>Ken Moffitt</dc:creator>
  <cp:keywords/>
  <dc:description/>
  <cp:lastModifiedBy>S Wilson</cp:lastModifiedBy>
  <cp:revision>2</cp:revision>
  <dcterms:created xsi:type="dcterms:W3CDTF">2022-04-05T20:18:00Z</dcterms:created>
  <dcterms:modified xsi:type="dcterms:W3CDTF">2022-04-05T20:18:00Z</dcterms:modified>
</cp:coreProperties>
</file>