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4AA1" w:rsidRDefault="00D64AA1" w:rsidP="00D64AA1">
      <w:pPr>
        <w:widowControl w:val="0"/>
        <w:jc w:val="center"/>
      </w:pPr>
      <w:r w:rsidRPr="00D64AA1">
        <w:rPr>
          <w:b/>
        </w:rPr>
        <w:t>South Carolina General Assembly</w:t>
      </w:r>
    </w:p>
    <w:p w:rsidR="00D64AA1" w:rsidRDefault="00D64AA1" w:rsidP="00D64AA1">
      <w:pPr>
        <w:widowControl w:val="0"/>
        <w:jc w:val="center"/>
      </w:pPr>
      <w:r>
        <w:t>124th Session, 2021-2022</w:t>
      </w:r>
    </w:p>
    <w:p w:rsidR="00D64AA1" w:rsidRDefault="00D64AA1" w:rsidP="00D64AA1">
      <w:pPr>
        <w:widowControl w:val="0"/>
        <w:jc w:val="left"/>
      </w:pPr>
    </w:p>
    <w:p w:rsidR="00D64AA1" w:rsidRDefault="00D64AA1" w:rsidP="00D64AA1">
      <w:pPr>
        <w:widowControl w:val="0"/>
        <w:jc w:val="left"/>
        <w:rPr>
          <w:b/>
        </w:rPr>
      </w:pPr>
      <w:r w:rsidRPr="00D64AA1">
        <w:rPr>
          <w:b/>
        </w:rPr>
        <w:t>S.</w:t>
      </w:r>
      <w:r>
        <w:rPr>
          <w:b/>
        </w:rPr>
        <w:t xml:space="preserve"> </w:t>
      </w:r>
      <w:r w:rsidRPr="00D64AA1">
        <w:rPr>
          <w:b/>
        </w:rPr>
        <w:t>1246</w:t>
      </w:r>
    </w:p>
    <w:p w:rsidR="00D64AA1" w:rsidRDefault="00D64AA1" w:rsidP="00D64AA1">
      <w:pPr>
        <w:widowControl w:val="0"/>
        <w:jc w:val="left"/>
        <w:rPr>
          <w:b/>
        </w:rPr>
      </w:pPr>
    </w:p>
    <w:p w:rsidR="00D64AA1" w:rsidRDefault="00D64AA1" w:rsidP="00D64AA1">
      <w:pPr>
        <w:widowControl w:val="0"/>
        <w:jc w:val="left"/>
      </w:pPr>
      <w:r w:rsidRPr="00D64AA1">
        <w:rPr>
          <w:b/>
        </w:rPr>
        <w:t>STATUS INFORMATION</w:t>
      </w:r>
    </w:p>
    <w:p w:rsidR="00D64AA1" w:rsidRDefault="00D64AA1" w:rsidP="00D64AA1">
      <w:pPr>
        <w:widowControl w:val="0"/>
        <w:jc w:val="left"/>
      </w:pPr>
    </w:p>
    <w:p w:rsidR="00D64AA1" w:rsidRDefault="00D64AA1" w:rsidP="00D64AA1">
      <w:pPr>
        <w:widowControl w:val="0"/>
        <w:jc w:val="left"/>
      </w:pPr>
      <w:r>
        <w:t>General Bill</w:t>
      </w:r>
    </w:p>
    <w:p w:rsidR="00D64AA1" w:rsidRDefault="00D64AA1" w:rsidP="00D64AA1">
      <w:pPr>
        <w:widowControl w:val="0"/>
        <w:jc w:val="left"/>
      </w:pPr>
      <w:r>
        <w:t>Sponsors: Senator Campsen</w:t>
      </w:r>
    </w:p>
    <w:p w:rsidR="00D64AA1" w:rsidRDefault="00D64AA1" w:rsidP="00D64AA1">
      <w:pPr>
        <w:widowControl w:val="0"/>
        <w:jc w:val="left"/>
      </w:pPr>
      <w:r>
        <w:t>Document Path: l:\council\bills\gt\6191ph22.docx</w:t>
      </w:r>
    </w:p>
    <w:p w:rsidR="00D64AA1" w:rsidRDefault="00D64AA1" w:rsidP="00D64AA1">
      <w:pPr>
        <w:widowControl w:val="0"/>
        <w:jc w:val="left"/>
      </w:pPr>
    </w:p>
    <w:p w:rsidR="00D64AA1" w:rsidRDefault="00D64AA1" w:rsidP="00D64AA1">
      <w:pPr>
        <w:widowControl w:val="0"/>
        <w:jc w:val="left"/>
      </w:pPr>
      <w:r>
        <w:t>Introduced in the Senate on April 6, 2022</w:t>
      </w:r>
    </w:p>
    <w:p w:rsidR="00D64AA1" w:rsidRDefault="00D64AA1" w:rsidP="00D64AA1">
      <w:pPr>
        <w:widowControl w:val="0"/>
        <w:jc w:val="left"/>
      </w:pPr>
      <w:r>
        <w:t xml:space="preserve">Currently residing in the Senate Committee on </w:t>
      </w:r>
      <w:r w:rsidRPr="00D64AA1">
        <w:rPr>
          <w:b/>
        </w:rPr>
        <w:t>Fish, Game and Forestry</w:t>
      </w:r>
    </w:p>
    <w:p w:rsidR="00D64AA1" w:rsidRDefault="00D64AA1" w:rsidP="00D64AA1">
      <w:pPr>
        <w:widowControl w:val="0"/>
        <w:jc w:val="left"/>
      </w:pPr>
    </w:p>
    <w:p w:rsidR="00D64AA1" w:rsidRDefault="00D64AA1" w:rsidP="00D64AA1">
      <w:pPr>
        <w:widowControl w:val="0"/>
        <w:jc w:val="left"/>
      </w:pPr>
      <w:r>
        <w:t>Summary: Saltwater Fishing Products</w:t>
      </w:r>
    </w:p>
    <w:p w:rsidR="00D64AA1" w:rsidRDefault="00D64AA1" w:rsidP="00D64AA1">
      <w:pPr>
        <w:widowControl w:val="0"/>
        <w:jc w:val="left"/>
      </w:pPr>
    </w:p>
    <w:p w:rsidR="00D64AA1" w:rsidRDefault="00D64AA1" w:rsidP="00D64AA1">
      <w:pPr>
        <w:widowControl w:val="0"/>
        <w:jc w:val="left"/>
      </w:pPr>
    </w:p>
    <w:p w:rsidR="00D64AA1" w:rsidRDefault="00D64AA1" w:rsidP="00D64AA1">
      <w:pPr>
        <w:widowControl w:val="0"/>
        <w:tabs>
          <w:tab w:val="center" w:pos="590"/>
          <w:tab w:val="center" w:pos="1440"/>
          <w:tab w:val="left" w:pos="1872"/>
          <w:tab w:val="left" w:pos="9187"/>
        </w:tabs>
        <w:jc w:val="left"/>
      </w:pPr>
      <w:r w:rsidRPr="00D64AA1">
        <w:rPr>
          <w:b/>
        </w:rPr>
        <w:t>HISTORY OF LEGISLATIVE ACTIONS</w:t>
      </w:r>
    </w:p>
    <w:p w:rsidR="00D64AA1" w:rsidRDefault="00D64AA1" w:rsidP="00D64AA1">
      <w:pPr>
        <w:widowControl w:val="0"/>
        <w:tabs>
          <w:tab w:val="center" w:pos="590"/>
          <w:tab w:val="center" w:pos="1440"/>
          <w:tab w:val="left" w:pos="1872"/>
          <w:tab w:val="left" w:pos="9187"/>
        </w:tabs>
        <w:jc w:val="left"/>
      </w:pPr>
    </w:p>
    <w:p w:rsidR="00D64AA1" w:rsidRPr="00D64AA1" w:rsidRDefault="00D64AA1" w:rsidP="00D64AA1">
      <w:pPr>
        <w:widowControl w:val="0"/>
        <w:tabs>
          <w:tab w:val="center" w:pos="590"/>
          <w:tab w:val="center" w:pos="1440"/>
          <w:tab w:val="left" w:pos="1872"/>
          <w:tab w:val="left" w:pos="9187"/>
        </w:tabs>
        <w:jc w:val="left"/>
      </w:pPr>
      <w:r w:rsidRPr="00D64AA1">
        <w:rPr>
          <w:u w:val="single"/>
        </w:rPr>
        <w:tab/>
        <w:t>Date</w:t>
      </w:r>
      <w:r w:rsidRPr="00D64AA1">
        <w:rPr>
          <w:u w:val="single"/>
        </w:rPr>
        <w:tab/>
        <w:t>Body</w:t>
      </w:r>
      <w:r w:rsidRPr="00D64AA1">
        <w:rPr>
          <w:u w:val="single"/>
        </w:rPr>
        <w:tab/>
        <w:t>Action Description with journal page number</w:t>
      </w:r>
      <w:r w:rsidRPr="00D64AA1">
        <w:rPr>
          <w:u w:val="single"/>
        </w:rPr>
        <w:tab/>
      </w:r>
    </w:p>
    <w:p w:rsidR="00E07573" w:rsidRDefault="00E07573" w:rsidP="00E07573">
      <w:pPr>
        <w:widowControl w:val="0"/>
        <w:tabs>
          <w:tab w:val="right" w:pos="1008"/>
          <w:tab w:val="left" w:pos="1152"/>
          <w:tab w:val="left" w:pos="1872"/>
          <w:tab w:val="left" w:pos="9187"/>
        </w:tabs>
        <w:ind w:left="2088" w:hanging="2088"/>
      </w:pPr>
      <w:r>
        <w:tab/>
        <w:t>4/6/2022</w:t>
      </w:r>
      <w:r>
        <w:tab/>
        <w:t>Senate</w:t>
      </w:r>
      <w:r>
        <w:tab/>
        <w:t>Introduced and read first time (</w:t>
      </w:r>
      <w:hyperlink r:id="rId7" w:history="1">
        <w:r w:rsidRPr="00807A22">
          <w:rPr>
            <w:rStyle w:val="Hyperlink"/>
          </w:rPr>
          <w:t>Senate Journal</w:t>
        </w:r>
        <w:r w:rsidRPr="00807A22">
          <w:rPr>
            <w:rStyle w:val="Hyperlink"/>
          </w:rPr>
          <w:noBreakHyphen/>
          <w:t>page 7</w:t>
        </w:r>
      </w:hyperlink>
      <w:r>
        <w:t>)</w:t>
      </w:r>
    </w:p>
    <w:p w:rsidR="00E07573" w:rsidRDefault="00E07573" w:rsidP="00E07573">
      <w:pPr>
        <w:widowControl w:val="0"/>
        <w:tabs>
          <w:tab w:val="right" w:pos="1008"/>
          <w:tab w:val="left" w:pos="1152"/>
          <w:tab w:val="left" w:pos="1872"/>
          <w:tab w:val="left" w:pos="9187"/>
        </w:tabs>
        <w:ind w:left="2088" w:hanging="2088"/>
      </w:pPr>
      <w:r>
        <w:tab/>
        <w:t>4/6/2022</w:t>
      </w:r>
      <w:r>
        <w:tab/>
        <w:t>Senate</w:t>
      </w:r>
      <w:r>
        <w:tab/>
        <w:t xml:space="preserve">Referred to Committee on </w:t>
      </w:r>
      <w:r w:rsidRPr="00807A22">
        <w:rPr>
          <w:b/>
        </w:rPr>
        <w:t>Fish, Game and Forestry</w:t>
      </w:r>
      <w:r>
        <w:t xml:space="preserve"> (</w:t>
      </w:r>
      <w:hyperlink r:id="rId8" w:history="1">
        <w:r w:rsidRPr="00807A22">
          <w:rPr>
            <w:rStyle w:val="Hyperlink"/>
          </w:rPr>
          <w:t>Senate Journal</w:t>
        </w:r>
        <w:r w:rsidRPr="00807A22">
          <w:rPr>
            <w:rStyle w:val="Hyperlink"/>
          </w:rPr>
          <w:noBreakHyphen/>
          <w:t>page 7</w:t>
        </w:r>
      </w:hyperlink>
      <w:r>
        <w:t>)</w:t>
      </w:r>
    </w:p>
    <w:p w:rsidR="00E07573" w:rsidRDefault="00E07573" w:rsidP="00E07573">
      <w:pPr>
        <w:widowControl w:val="0"/>
        <w:tabs>
          <w:tab w:val="right" w:pos="1008"/>
          <w:tab w:val="left" w:pos="1152"/>
          <w:tab w:val="left" w:pos="1872"/>
          <w:tab w:val="left" w:pos="9187"/>
        </w:tabs>
        <w:ind w:left="2088" w:hanging="2088"/>
      </w:pPr>
    </w:p>
    <w:p w:rsidR="00D64AA1" w:rsidRDefault="00D64AA1" w:rsidP="00D64AA1">
      <w:pPr>
        <w:widowControl w:val="0"/>
        <w:tabs>
          <w:tab w:val="right" w:pos="1008"/>
          <w:tab w:val="left" w:pos="1152"/>
          <w:tab w:val="left" w:pos="1872"/>
          <w:tab w:val="left" w:pos="9187"/>
        </w:tabs>
        <w:ind w:left="2088" w:hanging="2088"/>
        <w:jc w:val="left"/>
      </w:pPr>
      <w:r>
        <w:t xml:space="preserve">View the latest </w:t>
      </w:r>
      <w:hyperlink r:id="rId9" w:history="1">
        <w:r w:rsidRPr="00D64AA1">
          <w:rPr>
            <w:rStyle w:val="Hyperlink"/>
          </w:rPr>
          <w:t>legislative information</w:t>
        </w:r>
      </w:hyperlink>
      <w:r>
        <w:t xml:space="preserve"> at the website</w:t>
      </w:r>
    </w:p>
    <w:p w:rsidR="00D64AA1" w:rsidRDefault="00D64AA1" w:rsidP="00D64AA1">
      <w:pPr>
        <w:widowControl w:val="0"/>
        <w:tabs>
          <w:tab w:val="right" w:pos="1008"/>
          <w:tab w:val="left" w:pos="1152"/>
          <w:tab w:val="left" w:pos="1872"/>
          <w:tab w:val="left" w:pos="9187"/>
        </w:tabs>
        <w:ind w:left="2088" w:hanging="2088"/>
        <w:jc w:val="left"/>
      </w:pPr>
    </w:p>
    <w:p w:rsidR="00D64AA1" w:rsidRPr="00D64AA1" w:rsidRDefault="00D64AA1" w:rsidP="00D64AA1">
      <w:pPr>
        <w:widowControl w:val="0"/>
        <w:tabs>
          <w:tab w:val="right" w:pos="1008"/>
          <w:tab w:val="left" w:pos="1152"/>
          <w:tab w:val="left" w:pos="1872"/>
          <w:tab w:val="left" w:pos="9187"/>
        </w:tabs>
        <w:ind w:left="2088" w:hanging="2088"/>
        <w:jc w:val="left"/>
      </w:pPr>
    </w:p>
    <w:p w:rsidR="00D64AA1" w:rsidRDefault="00D64AA1" w:rsidP="00D64AA1">
      <w:pPr>
        <w:widowControl w:val="0"/>
        <w:jc w:val="left"/>
      </w:pPr>
      <w:r w:rsidRPr="00D64AA1">
        <w:rPr>
          <w:b/>
        </w:rPr>
        <w:t>VERSIONS OF THIS BILL</w:t>
      </w:r>
    </w:p>
    <w:p w:rsidR="00D64AA1" w:rsidRDefault="00D64AA1" w:rsidP="00D64AA1">
      <w:pPr>
        <w:widowControl w:val="0"/>
        <w:jc w:val="left"/>
      </w:pPr>
    </w:p>
    <w:p w:rsidR="00D64AA1" w:rsidRDefault="00837384" w:rsidP="00D64AA1">
      <w:pPr>
        <w:widowControl w:val="0"/>
        <w:jc w:val="left"/>
      </w:pPr>
      <w:hyperlink r:id="rId10" w:history="1">
        <w:r w:rsidR="00D64AA1">
          <w:rPr>
            <w:rStyle w:val="Hyperlink"/>
          </w:rPr>
          <w:t>4/6/2022</w:t>
        </w:r>
      </w:hyperlink>
    </w:p>
    <w:p w:rsidR="00D64AA1" w:rsidRDefault="00D64AA1" w:rsidP="00D64AA1"/>
    <w:p w:rsidR="00D64AA1" w:rsidRDefault="00D64AA1" w:rsidP="00D64AA1">
      <w:pPr>
        <w:sectPr w:rsidR="00D64AA1" w:rsidSect="00D64AA1">
          <w:pgSz w:w="12240" w:h="15840" w:code="1"/>
          <w:pgMar w:top="1080" w:right="1440" w:bottom="1080" w:left="1440" w:header="720" w:footer="720" w:gutter="0"/>
          <w:cols w:space="720"/>
          <w:noEndnote/>
          <w:docGrid w:linePitch="360"/>
        </w:sectPr>
      </w:pPr>
    </w:p>
    <w:p w:rsidR="00B475B9" w:rsidRDefault="00B475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1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4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82B52">
        <w:rPr>
          <w:color w:val="000000" w:themeColor="text1"/>
          <w:u w:color="000000" w:themeColor="text1"/>
        </w:rPr>
        <w:t>TO AMEND SECTION 50</w:t>
      </w:r>
      <w:r w:rsidR="00836B82">
        <w:rPr>
          <w:color w:val="000000" w:themeColor="text1"/>
          <w:u w:color="000000" w:themeColor="text1"/>
        </w:rPr>
        <w:noBreakHyphen/>
      </w:r>
      <w:r w:rsidRPr="00B82B52">
        <w:rPr>
          <w:color w:val="000000" w:themeColor="text1"/>
          <w:u w:color="000000" w:themeColor="text1"/>
        </w:rPr>
        <w:t>5</w:t>
      </w:r>
      <w:r w:rsidR="00836B82">
        <w:rPr>
          <w:color w:val="000000" w:themeColor="text1"/>
          <w:u w:color="000000" w:themeColor="text1"/>
        </w:rPr>
        <w:noBreakHyphen/>
      </w:r>
      <w:r w:rsidRPr="00B82B52">
        <w:rPr>
          <w:color w:val="000000" w:themeColor="text1"/>
          <w:u w:color="000000" w:themeColor="text1"/>
        </w:rPr>
        <w:t>380, CODE OF LAWS OF SOUTH CAROLINA, 1976</w:t>
      </w:r>
      <w:r w:rsidR="00406D34">
        <w:rPr>
          <w:color w:val="000000" w:themeColor="text1"/>
          <w:u w:color="000000" w:themeColor="text1"/>
        </w:rPr>
        <w:t>,</w:t>
      </w:r>
      <w:r w:rsidRPr="00B82B52">
        <w:rPr>
          <w:color w:val="000000" w:themeColor="text1"/>
          <w:u w:color="000000" w:themeColor="text1"/>
        </w:rPr>
        <w:t xml:space="preserve"> RELATING TO TAKING SALTWATER FISHERY PRODUCTS FOR COMMERCIAL OR SCIENTIFIC PURPOSES, SO AS TO REMOVE CONFIDENTIALITY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01C1" w:rsidRDefault="003A0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1C1" w:rsidRDefault="003A0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82B52">
        <w:rPr>
          <w:color w:val="000000" w:themeColor="text1"/>
          <w:u w:color="000000" w:themeColor="text1"/>
        </w:rPr>
        <w:t>Section 50</w:t>
      </w:r>
      <w:r w:rsidR="00836B82">
        <w:rPr>
          <w:color w:val="000000" w:themeColor="text1"/>
          <w:u w:color="000000" w:themeColor="text1"/>
        </w:rPr>
        <w:noBreakHyphen/>
      </w:r>
      <w:r w:rsidRPr="00B82B52">
        <w:rPr>
          <w:color w:val="000000" w:themeColor="text1"/>
          <w:u w:color="000000" w:themeColor="text1"/>
        </w:rPr>
        <w:t>5</w:t>
      </w:r>
      <w:r w:rsidR="00836B82">
        <w:rPr>
          <w:color w:val="000000" w:themeColor="text1"/>
          <w:u w:color="000000" w:themeColor="text1"/>
        </w:rPr>
        <w:noBreakHyphen/>
      </w:r>
      <w:r w:rsidRPr="00B82B52">
        <w:rPr>
          <w:color w:val="000000" w:themeColor="text1"/>
          <w:u w:color="000000" w:themeColor="text1"/>
        </w:rPr>
        <w:t>380 of the 1976 Code is amended to read:</w:t>
      </w: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B52">
        <w:rPr>
          <w:color w:val="000000" w:themeColor="text1"/>
          <w:u w:color="000000" w:themeColor="text1"/>
        </w:rPr>
        <w:tab/>
      </w:r>
      <w:r>
        <w:rPr>
          <w:color w:val="000000" w:themeColor="text1"/>
          <w:u w:color="000000" w:themeColor="text1"/>
        </w:rPr>
        <w:t>“Section 50</w:t>
      </w:r>
      <w:r w:rsidR="00836B82">
        <w:rPr>
          <w:color w:val="000000" w:themeColor="text1"/>
          <w:u w:color="000000" w:themeColor="text1"/>
        </w:rPr>
        <w:noBreakHyphen/>
      </w:r>
      <w:r>
        <w:rPr>
          <w:color w:val="000000" w:themeColor="text1"/>
          <w:u w:color="000000" w:themeColor="text1"/>
        </w:rPr>
        <w:t>5</w:t>
      </w:r>
      <w:r w:rsidR="00836B82">
        <w:rPr>
          <w:color w:val="000000" w:themeColor="text1"/>
          <w:u w:color="000000" w:themeColor="text1"/>
        </w:rPr>
        <w:noBreakHyphen/>
      </w:r>
      <w:r>
        <w:rPr>
          <w:color w:val="000000" w:themeColor="text1"/>
          <w:u w:color="000000" w:themeColor="text1"/>
        </w:rPr>
        <w:t>380.</w:t>
      </w:r>
      <w:r>
        <w:rPr>
          <w:color w:val="000000" w:themeColor="text1"/>
          <w:u w:color="000000" w:themeColor="text1"/>
        </w:rPr>
        <w:tab/>
        <w:t>(A)</w:t>
      </w:r>
      <w:r>
        <w:rPr>
          <w:color w:val="000000" w:themeColor="text1"/>
          <w:u w:color="000000" w:themeColor="text1"/>
        </w:rPr>
        <w:tab/>
      </w:r>
      <w:r w:rsidRPr="00B82B52">
        <w:rPr>
          <w:color w:val="000000" w:themeColor="text1"/>
          <w:u w:color="000000" w:themeColor="text1"/>
        </w:rPr>
        <w:t>A person or entity licensed or permitted by the department engaged in the take, distribution, or propagation of any saltwater fishery product for a commercial or scientific purpose must keep accurate records and may be required to provide accurate information and reports to the department on forms and by methods required by the department for the administration and enforcement of saltwater fishery laws and for fisheries management purposes. The department has concurrent authority with the United States to collect or require the submission of pertinent data specified pursuant to the federal Fishery Conservation and Management Act of 1976, as amended.</w:t>
      </w:r>
      <w:r w:rsidRPr="003F4D76">
        <w:rPr>
          <w:color w:val="000000" w:themeColor="text1"/>
          <w:u w:color="000000" w:themeColor="text1"/>
        </w:rPr>
        <w:t xml:space="preserve"> Any information which directly or indirectly discloses </w:t>
      </w:r>
      <w:r w:rsidRPr="00B82B52">
        <w:rPr>
          <w:strike/>
          <w:color w:val="000000" w:themeColor="text1"/>
          <w:u w:color="000000" w:themeColor="text1"/>
        </w:rPr>
        <w:t>the identity of a licensee or permittee or</w:t>
      </w:r>
      <w:r w:rsidR="003F4D76">
        <w:rPr>
          <w:color w:val="000000" w:themeColor="text1"/>
          <w:u w:color="000000" w:themeColor="text1"/>
        </w:rPr>
        <w:t xml:space="preserve"> </w:t>
      </w:r>
      <w:r w:rsidRPr="003F4D76">
        <w:rPr>
          <w:color w:val="000000" w:themeColor="text1"/>
          <w:u w:color="000000" w:themeColor="text1"/>
        </w:rPr>
        <w:t xml:space="preserve">income amounts or trade secrets </w:t>
      </w:r>
      <w:r w:rsidRPr="00B82B52">
        <w:rPr>
          <w:strike/>
          <w:color w:val="000000" w:themeColor="text1"/>
          <w:u w:color="000000" w:themeColor="text1"/>
        </w:rPr>
        <w:t>or other specialized methodologies</w:t>
      </w:r>
      <w:r w:rsidRPr="003F4D76">
        <w:rPr>
          <w:color w:val="000000" w:themeColor="text1"/>
          <w:u w:color="000000" w:themeColor="text1"/>
        </w:rPr>
        <w:t xml:space="preserve"> for growing or taking or marketing saltwater fisheries products is not public information. </w:t>
      </w:r>
      <w:r w:rsidRPr="00B82B52">
        <w:rPr>
          <w:strike/>
          <w:color w:val="000000" w:themeColor="text1"/>
          <w:u w:color="000000" w:themeColor="text1"/>
        </w:rPr>
        <w:t>Information on fisheries furnished by any source which is required by a state or federal law to be kept confidential is not subject to disclosure except when required by order of a court of competent jurisdiction.</w:t>
      </w: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82B52">
        <w:rPr>
          <w:color w:val="000000" w:themeColor="text1"/>
          <w:u w:color="000000" w:themeColor="text1"/>
        </w:rPr>
        <w:tab/>
        <w:t>(B)</w:t>
      </w:r>
      <w:r>
        <w:rPr>
          <w:color w:val="000000" w:themeColor="text1"/>
          <w:u w:color="000000" w:themeColor="text1"/>
        </w:rPr>
        <w:tab/>
      </w:r>
      <w:r w:rsidRPr="00B82B52">
        <w:rPr>
          <w:strike/>
          <w:color w:val="000000" w:themeColor="text1"/>
          <w:u w:color="000000" w:themeColor="text1"/>
        </w:rPr>
        <w:t>Noncommercial information provided voluntarily to the department in support of a resource or management activity is likewise confidential. Nothing in this section may be construed as to limit the use of such information in enforcement of this chapter.</w:t>
      </w:r>
    </w:p>
    <w:p w:rsidR="00603493" w:rsidRPr="00B82B52" w:rsidRDefault="00836B82"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B82">
        <w:rPr>
          <w:color w:val="000000" w:themeColor="text1"/>
          <w:u w:color="000000" w:themeColor="text1"/>
        </w:rPr>
        <w:tab/>
      </w:r>
      <w:r w:rsidR="00603493" w:rsidRPr="00B82B52">
        <w:rPr>
          <w:strike/>
          <w:color w:val="000000" w:themeColor="text1"/>
          <w:u w:color="000000" w:themeColor="text1"/>
        </w:rPr>
        <w:t>(C)</w:t>
      </w:r>
      <w:r w:rsidR="00603493">
        <w:rPr>
          <w:color w:val="000000" w:themeColor="text1"/>
          <w:u w:color="000000" w:themeColor="text1"/>
        </w:rPr>
        <w:tab/>
      </w:r>
      <w:r w:rsidR="00603493" w:rsidRPr="00B82B52">
        <w:rPr>
          <w:color w:val="000000" w:themeColor="text1"/>
          <w:u w:color="000000" w:themeColor="text1"/>
        </w:rPr>
        <w:t>A person or entity licensed or permitted under this chapter who fails to make an accurate and timely report as required by the department is guilty of a misdemeanor and, upon conviction, the person must be fined not less than twenty</w:t>
      </w:r>
      <w:r>
        <w:rPr>
          <w:color w:val="000000" w:themeColor="text1"/>
          <w:u w:color="000000" w:themeColor="text1"/>
        </w:rPr>
        <w:noBreakHyphen/>
      </w:r>
      <w:r w:rsidR="00603493" w:rsidRPr="00B82B52">
        <w:rPr>
          <w:color w:val="000000" w:themeColor="text1"/>
          <w:u w:color="000000" w:themeColor="text1"/>
        </w:rPr>
        <w:t>five dollars nor more than two hundred dollars or imprisoned for not more than thirty days for each report, and the department must suspend the license or permit under which the report is required until accurate and complete reports are submitted to the department. Each delinquent or inaccurate report must be handled as a separate offense. The provisions of this section do not supersede or replace any criminal sanctions for defrauding or attempting to defraud this State.</w:t>
      </w: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B52">
        <w:rPr>
          <w:color w:val="000000" w:themeColor="text1"/>
          <w:u w:color="000000" w:themeColor="text1"/>
        </w:rPr>
        <w:tab/>
      </w:r>
      <w:r w:rsidRPr="00B82B52">
        <w:rPr>
          <w:strike/>
          <w:color w:val="000000" w:themeColor="text1"/>
          <w:u w:color="000000" w:themeColor="text1"/>
        </w:rPr>
        <w:t>(D)</w:t>
      </w:r>
      <w:r w:rsidRPr="00B82B52">
        <w:rPr>
          <w:color w:val="000000" w:themeColor="text1"/>
          <w:u w:val="single" w:color="000000" w:themeColor="text1"/>
        </w:rPr>
        <w:t>(C)</w:t>
      </w:r>
      <w:r>
        <w:rPr>
          <w:color w:val="000000" w:themeColor="text1"/>
          <w:u w:color="000000" w:themeColor="text1"/>
        </w:rPr>
        <w:tab/>
      </w:r>
      <w:r w:rsidRPr="00B82B52">
        <w:rPr>
          <w:color w:val="000000" w:themeColor="text1"/>
          <w:u w:color="000000" w:themeColor="text1"/>
        </w:rPr>
        <w:t>The department shall collect and analyze data pertinent to protection, propagation, promotion, and management of marine resources.</w:t>
      </w:r>
      <w:r>
        <w:rPr>
          <w:color w:val="000000" w:themeColor="text1"/>
          <w:u w:color="000000" w:themeColor="text1"/>
        </w:rPr>
        <w:t>”</w:t>
      </w: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B52">
        <w:rPr>
          <w:color w:val="000000" w:themeColor="text1"/>
          <w:u w:color="000000" w:themeColor="text1"/>
        </w:rPr>
        <w:t>This act takes effect upon approval by the Governor.</w:t>
      </w:r>
    </w:p>
    <w:p w:rsidR="00FE486F" w:rsidRDefault="00836B82" w:rsidP="00EA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4AA1" w:rsidRDefault="00D64AA1" w:rsidP="00D64AA1">
      <w:pPr>
        <w:suppressAutoHyphens/>
      </w:pPr>
    </w:p>
    <w:sectPr w:rsidR="00D64AA1" w:rsidSect="00D64A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01C1" w:rsidRDefault="003A01C1" w:rsidP="009F0C77">
      <w:r>
        <w:separator/>
      </w:r>
    </w:p>
  </w:endnote>
  <w:endnote w:type="continuationSeparator" w:id="0">
    <w:p w:rsidR="003A01C1" w:rsidRDefault="003A01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97419D8-B841-4CAF-B581-9E210AEDA499}"/>
    <w:embedBold r:id="rId2" w:fontKey="{CEBCC308-3BDB-4C94-BEA6-B3A7FD413574}"/>
  </w:font>
  <w:font w:name="Calibri">
    <w:panose1 w:val="020F0502020204030204"/>
    <w:charset w:val="00"/>
    <w:family w:val="swiss"/>
    <w:pitch w:val="variable"/>
    <w:sig w:usb0="E4002EFF" w:usb1="C000247B" w:usb2="00000009" w:usb3="00000000" w:csb0="000001FF" w:csb1="00000000"/>
    <w:embedRegular r:id="rId3" w:fontKey="{CA9D1C7A-8C9E-4BAD-89D3-39B57CB7C4B5}"/>
  </w:font>
  <w:font w:name="Cambria">
    <w:panose1 w:val="02040503050406030204"/>
    <w:charset w:val="00"/>
    <w:family w:val="roman"/>
    <w:pitch w:val="variable"/>
    <w:sig w:usb0="E00006FF" w:usb1="420024FF" w:usb2="02000000" w:usb3="00000000" w:csb0="0000019F" w:csb1="00000000"/>
    <w:embedRegular r:id="rId4" w:fontKey="{89EF9439-4D89-4FB8-8B3C-0D4BD2D9A6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4AA1" w:rsidRPr="00B475B9" w:rsidRDefault="00D64AA1" w:rsidP="00B475B9">
    <w:pPr>
      <w:pStyle w:val="Footer"/>
      <w:tabs>
        <w:tab w:val="clear" w:pos="4680"/>
        <w:tab w:val="clear" w:pos="9360"/>
        <w:tab w:val="center" w:pos="2995"/>
      </w:tabs>
      <w:spacing w:before="120"/>
    </w:pPr>
    <w:r>
      <w:t>[1246]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01C1" w:rsidRDefault="003A01C1" w:rsidP="009F0C77">
      <w:r>
        <w:separator/>
      </w:r>
    </w:p>
  </w:footnote>
  <w:footnote w:type="continuationSeparator" w:id="0">
    <w:p w:rsidR="003A01C1" w:rsidRDefault="003A01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91PH22"/>
    <w:docVar w:name="CoverBillType" w:val="b"/>
    <w:docVar w:name="DocPath" w:val="L:\Council\bills\GT\6191PH22.DOCX"/>
    <w:docVar w:name="dvBillNumber" w:val="1246"/>
    <w:docVar w:name="dvBillNumberPrefix" w:val="S. "/>
    <w:docVar w:name="dvOriginalBody" w:val="Senate"/>
    <w:docVar w:name="dvSteno" w:val="GT"/>
    <w:docVar w:name="NameofBody" w:val="s"/>
    <w:docVar w:name="vGroup2" w:val="Council"/>
  </w:docVars>
  <w:rsids>
    <w:rsidRoot w:val="003A01C1"/>
    <w:rsid w:val="000263D9"/>
    <w:rsid w:val="00026C9A"/>
    <w:rsid w:val="000965A1"/>
    <w:rsid w:val="000C487D"/>
    <w:rsid w:val="000E1785"/>
    <w:rsid w:val="000F39F2"/>
    <w:rsid w:val="001023A4"/>
    <w:rsid w:val="001027C8"/>
    <w:rsid w:val="00103C93"/>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1C1"/>
    <w:rsid w:val="003D411E"/>
    <w:rsid w:val="003E3C1E"/>
    <w:rsid w:val="003E6148"/>
    <w:rsid w:val="003E7D04"/>
    <w:rsid w:val="003F4D76"/>
    <w:rsid w:val="00400EAA"/>
    <w:rsid w:val="00406D34"/>
    <w:rsid w:val="0041760A"/>
    <w:rsid w:val="004203D7"/>
    <w:rsid w:val="00423F46"/>
    <w:rsid w:val="00461588"/>
    <w:rsid w:val="004809EE"/>
    <w:rsid w:val="004B2A8B"/>
    <w:rsid w:val="00511EE9"/>
    <w:rsid w:val="00521E00"/>
    <w:rsid w:val="00577C6C"/>
    <w:rsid w:val="0058501B"/>
    <w:rsid w:val="00595DBE"/>
    <w:rsid w:val="005C5AC4"/>
    <w:rsid w:val="0060349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B82"/>
    <w:rsid w:val="00872729"/>
    <w:rsid w:val="008F4429"/>
    <w:rsid w:val="00932670"/>
    <w:rsid w:val="009352BB"/>
    <w:rsid w:val="0097593D"/>
    <w:rsid w:val="00990668"/>
    <w:rsid w:val="009B397B"/>
    <w:rsid w:val="009F0C77"/>
    <w:rsid w:val="009F4DD1"/>
    <w:rsid w:val="00A64E80"/>
    <w:rsid w:val="00A741D9"/>
    <w:rsid w:val="00A85589"/>
    <w:rsid w:val="00A9741D"/>
    <w:rsid w:val="00AB0576"/>
    <w:rsid w:val="00AD4B17"/>
    <w:rsid w:val="00B26FA6"/>
    <w:rsid w:val="00B475B9"/>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4AA1"/>
    <w:rsid w:val="00D6662B"/>
    <w:rsid w:val="00D95E2F"/>
    <w:rsid w:val="00D970A9"/>
    <w:rsid w:val="00DB3AC0"/>
    <w:rsid w:val="00DC6813"/>
    <w:rsid w:val="00DE68F0"/>
    <w:rsid w:val="00DF3845"/>
    <w:rsid w:val="00DF7E17"/>
    <w:rsid w:val="00E07573"/>
    <w:rsid w:val="00E437DA"/>
    <w:rsid w:val="00E63093"/>
    <w:rsid w:val="00EA2E61"/>
    <w:rsid w:val="00EB00A2"/>
    <w:rsid w:val="00EB1BF3"/>
    <w:rsid w:val="00EF3EEE"/>
    <w:rsid w:val="00F149A7"/>
    <w:rsid w:val="00F50BAF"/>
    <w:rsid w:val="00F52C10"/>
    <w:rsid w:val="00F81FFD"/>
    <w:rsid w:val="00F85228"/>
    <w:rsid w:val="00F907F7"/>
    <w:rsid w:val="00FB6773"/>
    <w:rsid w:val="00FE4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053BCE-F246-48D1-9971-EF263FFE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64A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46_2022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355F2-261B-4CCF-A490-C3E2AAF4B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1246: Subject not yet available - South Carolina Legislature Online</dc:title>
  <dc:subject/>
  <dc:creator>Gwen Thurmond</dc:creator>
  <cp:keywords/>
  <dc:description/>
  <cp:lastModifiedBy>Sade Wilson</cp:lastModifiedBy>
  <cp:revision>2</cp:revision>
  <dcterms:created xsi:type="dcterms:W3CDTF">2022-04-07T14:06:00Z</dcterms:created>
  <dcterms:modified xsi:type="dcterms:W3CDTF">2022-04-07T14:06:00Z</dcterms:modified>
</cp:coreProperties>
</file>