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312" w:rsidRDefault="000E5312" w:rsidP="000E5312">
      <w:pPr>
        <w:widowControl w:val="0"/>
        <w:jc w:val="center"/>
      </w:pPr>
      <w:r w:rsidRPr="000E5312">
        <w:rPr>
          <w:b/>
        </w:rPr>
        <w:t>South Carolina General Assembly</w:t>
      </w:r>
    </w:p>
    <w:p w:rsidR="000E5312" w:rsidRDefault="000E5312" w:rsidP="000E5312">
      <w:pPr>
        <w:widowControl w:val="0"/>
        <w:jc w:val="center"/>
      </w:pPr>
      <w:r>
        <w:t>124th Session, 2021-2022</w:t>
      </w:r>
    </w:p>
    <w:p w:rsidR="000E5312" w:rsidRDefault="000E5312" w:rsidP="000E5312">
      <w:pPr>
        <w:widowControl w:val="0"/>
        <w:jc w:val="left"/>
      </w:pPr>
    </w:p>
    <w:p w:rsidR="000E5312" w:rsidRDefault="000E5312" w:rsidP="000E5312">
      <w:pPr>
        <w:widowControl w:val="0"/>
        <w:jc w:val="left"/>
        <w:rPr>
          <w:b/>
        </w:rPr>
      </w:pPr>
      <w:r w:rsidRPr="000E5312">
        <w:rPr>
          <w:b/>
        </w:rPr>
        <w:t>S.</w:t>
      </w:r>
      <w:r>
        <w:rPr>
          <w:b/>
        </w:rPr>
        <w:t xml:space="preserve"> </w:t>
      </w:r>
      <w:r w:rsidRPr="000E5312">
        <w:rPr>
          <w:b/>
        </w:rPr>
        <w:t>187</w:t>
      </w:r>
    </w:p>
    <w:p w:rsidR="000E5312" w:rsidRDefault="000E5312" w:rsidP="000E5312">
      <w:pPr>
        <w:widowControl w:val="0"/>
        <w:jc w:val="left"/>
        <w:rPr>
          <w:b/>
        </w:rPr>
      </w:pPr>
    </w:p>
    <w:p w:rsidR="000E5312" w:rsidRDefault="000E5312" w:rsidP="000E5312">
      <w:pPr>
        <w:widowControl w:val="0"/>
        <w:jc w:val="left"/>
      </w:pPr>
      <w:r w:rsidRPr="000E5312">
        <w:rPr>
          <w:b/>
        </w:rPr>
        <w:t>STATUS INFORMATION</w:t>
      </w:r>
    </w:p>
    <w:p w:rsidR="000E5312" w:rsidRDefault="000E5312" w:rsidP="000E5312">
      <w:pPr>
        <w:widowControl w:val="0"/>
        <w:jc w:val="left"/>
      </w:pPr>
    </w:p>
    <w:p w:rsidR="000E5312" w:rsidRDefault="000E5312" w:rsidP="000E5312">
      <w:pPr>
        <w:widowControl w:val="0"/>
        <w:jc w:val="left"/>
      </w:pPr>
      <w:r>
        <w:t>General Bill</w:t>
      </w:r>
    </w:p>
    <w:p w:rsidR="000E5312" w:rsidRDefault="001C1C69" w:rsidP="000E5312">
      <w:pPr>
        <w:widowControl w:val="0"/>
        <w:jc w:val="left"/>
      </w:pPr>
      <w:r>
        <w:t>Sponsors: Senators Hembree, Rankin, M. Johnson and Young</w:t>
      </w:r>
    </w:p>
    <w:p w:rsidR="000E5312" w:rsidRDefault="000E5312" w:rsidP="000E5312">
      <w:pPr>
        <w:widowControl w:val="0"/>
        <w:jc w:val="left"/>
      </w:pPr>
      <w:r>
        <w:t>Document Path: l:\council\bills\cc\15847zw21.docx</w:t>
      </w:r>
    </w:p>
    <w:p w:rsidR="000E5312" w:rsidRDefault="000E5312" w:rsidP="000E5312">
      <w:pPr>
        <w:widowControl w:val="0"/>
        <w:jc w:val="left"/>
      </w:pPr>
    </w:p>
    <w:p w:rsidR="002C5719" w:rsidRDefault="002C5719" w:rsidP="000E5312">
      <w:pPr>
        <w:widowControl w:val="0"/>
        <w:jc w:val="left"/>
      </w:pPr>
      <w:r>
        <w:t>Introduced in the Senate on January 12, 2021</w:t>
      </w:r>
    </w:p>
    <w:p w:rsidR="002C5719" w:rsidRPr="002C5719" w:rsidRDefault="002C5719" w:rsidP="000E5312">
      <w:pPr>
        <w:widowControl w:val="0"/>
        <w:jc w:val="left"/>
      </w:pPr>
      <w:r>
        <w:t xml:space="preserve">Currently residing in the Senate Committee on </w:t>
      </w:r>
      <w:r w:rsidRPr="002C5719">
        <w:rPr>
          <w:b/>
        </w:rPr>
        <w:t>Judiciary</w:t>
      </w:r>
    </w:p>
    <w:p w:rsidR="002C5719" w:rsidRDefault="002C5719" w:rsidP="000E5312">
      <w:pPr>
        <w:widowControl w:val="0"/>
        <w:jc w:val="left"/>
      </w:pPr>
    </w:p>
    <w:p w:rsidR="000E5312" w:rsidRDefault="00A77022" w:rsidP="000E5312">
      <w:pPr>
        <w:widowControl w:val="0"/>
        <w:jc w:val="left"/>
      </w:pPr>
      <w:r>
        <w:t>Summary: Campaign bank accounts</w:t>
      </w:r>
    </w:p>
    <w:p w:rsidR="000E5312" w:rsidRDefault="000E5312" w:rsidP="000E5312">
      <w:pPr>
        <w:widowControl w:val="0"/>
        <w:jc w:val="left"/>
      </w:pPr>
    </w:p>
    <w:p w:rsidR="000E5312" w:rsidRDefault="000E5312" w:rsidP="000E5312">
      <w:pPr>
        <w:widowControl w:val="0"/>
        <w:jc w:val="left"/>
      </w:pPr>
    </w:p>
    <w:p w:rsidR="000E5312" w:rsidRDefault="000E5312" w:rsidP="000E5312">
      <w:pPr>
        <w:widowControl w:val="0"/>
        <w:tabs>
          <w:tab w:val="center" w:pos="590"/>
          <w:tab w:val="center" w:pos="1440"/>
          <w:tab w:val="left" w:pos="1872"/>
          <w:tab w:val="left" w:pos="9187"/>
        </w:tabs>
        <w:jc w:val="left"/>
      </w:pPr>
      <w:r w:rsidRPr="000E5312">
        <w:rPr>
          <w:b/>
        </w:rPr>
        <w:t>HISTORY OF LEGISLATIVE ACTIONS</w:t>
      </w:r>
    </w:p>
    <w:p w:rsidR="000E5312" w:rsidRDefault="000E5312" w:rsidP="000E5312">
      <w:pPr>
        <w:widowControl w:val="0"/>
        <w:tabs>
          <w:tab w:val="center" w:pos="590"/>
          <w:tab w:val="center" w:pos="1440"/>
          <w:tab w:val="left" w:pos="1872"/>
          <w:tab w:val="left" w:pos="9187"/>
        </w:tabs>
        <w:jc w:val="left"/>
      </w:pPr>
    </w:p>
    <w:p w:rsidR="000E5312" w:rsidRPr="000E5312" w:rsidRDefault="000E5312" w:rsidP="000E5312">
      <w:pPr>
        <w:widowControl w:val="0"/>
        <w:tabs>
          <w:tab w:val="center" w:pos="590"/>
          <w:tab w:val="center" w:pos="1440"/>
          <w:tab w:val="left" w:pos="1872"/>
          <w:tab w:val="left" w:pos="9187"/>
        </w:tabs>
        <w:jc w:val="left"/>
      </w:pPr>
      <w:r w:rsidRPr="000E5312">
        <w:rPr>
          <w:u w:val="single"/>
        </w:rPr>
        <w:tab/>
        <w:t>Date</w:t>
      </w:r>
      <w:r w:rsidRPr="000E5312">
        <w:rPr>
          <w:u w:val="single"/>
        </w:rPr>
        <w:tab/>
        <w:t>Body</w:t>
      </w:r>
      <w:r w:rsidRPr="000E5312">
        <w:rPr>
          <w:u w:val="single"/>
        </w:rPr>
        <w:tab/>
        <w:t>Action Description with journal page number</w:t>
      </w:r>
      <w:r w:rsidRPr="000E5312">
        <w:rPr>
          <w:u w:val="single"/>
        </w:rPr>
        <w:tab/>
      </w:r>
    </w:p>
    <w:p w:rsidR="004F06A6" w:rsidRDefault="004F06A6" w:rsidP="004F06A6">
      <w:pPr>
        <w:widowControl w:val="0"/>
        <w:tabs>
          <w:tab w:val="right" w:pos="1008"/>
          <w:tab w:val="left" w:pos="1152"/>
          <w:tab w:val="left" w:pos="1872"/>
          <w:tab w:val="left" w:pos="9187"/>
        </w:tabs>
        <w:ind w:left="2088" w:hanging="2088"/>
      </w:pPr>
      <w:r>
        <w:tab/>
        <w:t>12/9/2020</w:t>
      </w:r>
      <w:r>
        <w:tab/>
        <w:t>Senate</w:t>
      </w:r>
      <w:r>
        <w:tab/>
        <w:t>Prefiled</w:t>
      </w:r>
    </w:p>
    <w:p w:rsidR="004F06A6" w:rsidRDefault="004F06A6" w:rsidP="004F06A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74564">
        <w:rPr>
          <w:b/>
        </w:rPr>
        <w:t>Judiciary</w:t>
      </w:r>
    </w:p>
    <w:p w:rsidR="004F06A6" w:rsidRDefault="004F06A6" w:rsidP="004F06A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74564">
          <w:rPr>
            <w:rStyle w:val="Hyperlink"/>
          </w:rPr>
          <w:t>Senate Journal</w:t>
        </w:r>
        <w:r w:rsidRPr="00574564">
          <w:rPr>
            <w:rStyle w:val="Hyperlink"/>
          </w:rPr>
          <w:noBreakHyphen/>
          <w:t>page 208</w:t>
        </w:r>
      </w:hyperlink>
      <w:r>
        <w:t>)</w:t>
      </w:r>
    </w:p>
    <w:p w:rsidR="004F06A6" w:rsidRDefault="004F06A6" w:rsidP="004F06A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74564">
        <w:rPr>
          <w:b/>
        </w:rPr>
        <w:t>Judiciary</w:t>
      </w:r>
      <w:r>
        <w:t xml:space="preserve"> (</w:t>
      </w:r>
      <w:hyperlink r:id="rId8" w:history="1">
        <w:r w:rsidRPr="00574564">
          <w:rPr>
            <w:rStyle w:val="Hyperlink"/>
          </w:rPr>
          <w:t>Senate Journal</w:t>
        </w:r>
        <w:r w:rsidRPr="00574564">
          <w:rPr>
            <w:rStyle w:val="Hyperlink"/>
          </w:rPr>
          <w:noBreakHyphen/>
          <w:t>page 208</w:t>
        </w:r>
      </w:hyperlink>
      <w:r>
        <w:t>)</w:t>
      </w:r>
    </w:p>
    <w:p w:rsidR="004F06A6" w:rsidRDefault="004F06A6" w:rsidP="004F06A6">
      <w:pPr>
        <w:widowControl w:val="0"/>
        <w:tabs>
          <w:tab w:val="right" w:pos="1008"/>
          <w:tab w:val="left" w:pos="1152"/>
          <w:tab w:val="left" w:pos="1872"/>
          <w:tab w:val="left" w:pos="9187"/>
        </w:tabs>
        <w:ind w:left="2088" w:hanging="2088"/>
      </w:pPr>
      <w:r>
        <w:tab/>
        <w:t>3/11/2021</w:t>
      </w:r>
      <w:r>
        <w:tab/>
        <w:t>Senate</w:t>
      </w:r>
      <w:r>
        <w:tab/>
        <w:t>Referred to Subcommittee:  Campsen (ch), Hutto, Young, McLeod, Garrett</w:t>
      </w:r>
    </w:p>
    <w:p w:rsidR="004F06A6" w:rsidRDefault="004F06A6" w:rsidP="004F06A6">
      <w:pPr>
        <w:widowControl w:val="0"/>
        <w:tabs>
          <w:tab w:val="right" w:pos="1008"/>
          <w:tab w:val="left" w:pos="1152"/>
          <w:tab w:val="left" w:pos="1872"/>
          <w:tab w:val="left" w:pos="9187"/>
        </w:tabs>
        <w:ind w:left="2088" w:hanging="2088"/>
      </w:pPr>
    </w:p>
    <w:p w:rsidR="000E5312" w:rsidRDefault="000E5312" w:rsidP="000E53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5312">
          <w:rPr>
            <w:rStyle w:val="Hyperlink"/>
          </w:rPr>
          <w:t>legislative information</w:t>
        </w:r>
      </w:hyperlink>
      <w:r>
        <w:t xml:space="preserve"> at the website</w:t>
      </w:r>
    </w:p>
    <w:p w:rsidR="000E5312" w:rsidRDefault="000E5312" w:rsidP="000E5312">
      <w:pPr>
        <w:widowControl w:val="0"/>
        <w:tabs>
          <w:tab w:val="right" w:pos="1008"/>
          <w:tab w:val="left" w:pos="1152"/>
          <w:tab w:val="left" w:pos="1872"/>
          <w:tab w:val="left" w:pos="9187"/>
        </w:tabs>
        <w:ind w:left="2088" w:hanging="2088"/>
        <w:jc w:val="left"/>
      </w:pPr>
    </w:p>
    <w:p w:rsidR="000E5312" w:rsidRPr="000E5312" w:rsidRDefault="000E5312" w:rsidP="000E5312">
      <w:pPr>
        <w:widowControl w:val="0"/>
        <w:tabs>
          <w:tab w:val="right" w:pos="1008"/>
          <w:tab w:val="left" w:pos="1152"/>
          <w:tab w:val="left" w:pos="1872"/>
          <w:tab w:val="left" w:pos="9187"/>
        </w:tabs>
        <w:ind w:left="2088" w:hanging="2088"/>
        <w:jc w:val="left"/>
      </w:pPr>
    </w:p>
    <w:p w:rsidR="000E5312" w:rsidRDefault="000E5312" w:rsidP="000E5312">
      <w:pPr>
        <w:widowControl w:val="0"/>
        <w:jc w:val="left"/>
      </w:pPr>
      <w:r w:rsidRPr="000E5312">
        <w:rPr>
          <w:b/>
        </w:rPr>
        <w:t>VERSIONS OF THIS BILL</w:t>
      </w:r>
    </w:p>
    <w:p w:rsidR="000E5312" w:rsidRDefault="000E5312" w:rsidP="000E5312">
      <w:pPr>
        <w:widowControl w:val="0"/>
        <w:jc w:val="left"/>
      </w:pPr>
    </w:p>
    <w:p w:rsidR="000E5312" w:rsidRDefault="00260C80" w:rsidP="000E5312">
      <w:pPr>
        <w:widowControl w:val="0"/>
        <w:jc w:val="left"/>
      </w:pPr>
      <w:hyperlink r:id="rId10" w:history="1">
        <w:r w:rsidR="000E5312">
          <w:rPr>
            <w:rStyle w:val="Hyperlink"/>
          </w:rPr>
          <w:t>12/9/2020</w:t>
        </w:r>
      </w:hyperlink>
    </w:p>
    <w:p w:rsidR="000E5312" w:rsidRDefault="000E5312" w:rsidP="000E5312"/>
    <w:p w:rsidR="000E5312" w:rsidRDefault="000E5312" w:rsidP="000E5312">
      <w:pPr>
        <w:sectPr w:rsidR="000E5312" w:rsidSect="000E5312">
          <w:pgSz w:w="12240" w:h="15840" w:code="1"/>
          <w:pgMar w:top="1080" w:right="1440" w:bottom="1080" w:left="1440" w:header="720" w:footer="720" w:gutter="0"/>
          <w:cols w:space="720"/>
          <w:noEndnote/>
          <w:docGrid w:linePitch="360"/>
        </w:sectPr>
      </w:pPr>
    </w:p>
    <w:p w:rsidR="00A73C50" w:rsidRDefault="00A73C50"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F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F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4941">
        <w:rPr>
          <w:color w:val="000000" w:themeColor="text1"/>
          <w:u w:color="000000" w:themeColor="text1"/>
        </w:rPr>
        <w:t>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 CODE OF LAWS OF SOUTH CAROLINA, 1976, RELATING TO CAMPAIGN BANK ACCOUNTS, SO AS TO DEFINE RELEVANT TERMS APPLICABLE TO THIS ACT, TO PROVIDE THAT ALL CONTRIBUTIONS RECEIVED BY CANDIDATES SHALL BE DEPOSITED INTO AN INTEREST ON CAMPAIGN ACCOUNT KNOWN AS AN “IOCA</w:t>
      </w:r>
      <w:r>
        <w:rPr>
          <w:color w:val="000000" w:themeColor="text1"/>
          <w:u w:color="000000" w:themeColor="text1"/>
        </w:rPr>
        <w:t>”,</w:t>
      </w:r>
      <w:r w:rsidRPr="00A84941">
        <w:rPr>
          <w:color w:val="000000" w:themeColor="text1"/>
          <w:u w:color="000000" w:themeColor="text1"/>
        </w:rPr>
        <w:t xml:space="preserve"> TO PROVIDE THAT IOCAS SHALL BENEFIT THE STATE ETHICS COMMISSION, TO PROVIDE THAT IOCAS MUST BE ESTABLISHED WITH ELIGIBLE INSTITUTIONS THAT VOLUNTARILY CHOOSE TO PARTICIPATE, TO PROVIDE FOR THE RATE OF INTEREST OR DIVIDENDS PAYABLE ON AN IOCA, TO PROVIDE THAT ONE PERCENT OF ALL CONTRIBUTIONS DEPOSITED INTO AN IOCA MUST BE REMITTED TO BENEFIT THE COMMISSION, AND TO PROVIDE THAT THE FUNDS REMITTED TO THE COMMISSION PURSUANT TO THIS ACT MUST BE USED BY THE COMMISSION TO CREATE A POSITION OR POSITIONS WITHIN ITS EMPLOY TO CHECK AND CONFIRM THE COMPLETENESS OF CANDIDATE FILINGS; 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320, RELATING TO THE DUTIES AND POWERS OF THE STATE ETHICS COMMISSION, SO AS TO PROVIDE THAT THOSE DUTIES AND RESPONSIBILITIES INCLUDE RECEIVING, ADMINISTERING, INVESTING, DISBURSING, AND SEPARATELY ACCOUNTING FOR FUNDS REMITTED TO IT PURSUANT TO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 AND 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340, RELATING TO THE ANNUAL REPORT OF THE STATE ETHICS COMMISSION, SO AS TO PROVIDE THAT THE STATE ETHICS COMMISSION ALSO SHALL INCLUDE IN ITS ANNUAL REPORT TO THE GENERAL ASSEMBLY AND TO THE GOVERNOR THE AMOUNT OF FUNDS IT HAS RECEIVED FROM IOCAS.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F96" w:rsidRDefault="00502F4C"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20F96" w:rsidRPr="00A84941">
        <w:rPr>
          <w:color w:val="000000" w:themeColor="text1"/>
          <w:u w:color="000000" w:themeColor="text1"/>
        </w:rPr>
        <w:t>Section 8</w:t>
      </w:r>
      <w:r w:rsidR="00EE394F">
        <w:rPr>
          <w:color w:val="000000" w:themeColor="text1"/>
          <w:u w:color="000000" w:themeColor="text1"/>
        </w:rPr>
        <w:noBreakHyphen/>
      </w:r>
      <w:r w:rsidR="00320F96" w:rsidRPr="00A84941">
        <w:rPr>
          <w:color w:val="000000" w:themeColor="text1"/>
          <w:u w:color="000000" w:themeColor="text1"/>
        </w:rPr>
        <w:t>13</w:t>
      </w:r>
      <w:r w:rsidR="00EE394F">
        <w:rPr>
          <w:color w:val="000000" w:themeColor="text1"/>
          <w:u w:color="000000" w:themeColor="text1"/>
        </w:rPr>
        <w:noBreakHyphen/>
      </w:r>
      <w:r w:rsidR="00320F96" w:rsidRPr="00A84941">
        <w:rPr>
          <w:color w:val="000000" w:themeColor="text1"/>
          <w:u w:color="000000" w:themeColor="text1"/>
        </w:rPr>
        <w:t>1312 of the 1976 Code is amended to read:</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EE394F">
        <w:noBreakHyphen/>
      </w:r>
      <w:r>
        <w:t>13</w:t>
      </w:r>
      <w:r w:rsidR="00EE394F">
        <w:noBreakHyphen/>
      </w:r>
      <w:r>
        <w:t>1312.</w:t>
      </w:r>
      <w:r>
        <w:tab/>
      </w:r>
      <w:r w:rsidRPr="00D53BCD">
        <w:rPr>
          <w:color w:val="000000" w:themeColor="text1"/>
          <w:u w:val="single" w:color="000000" w:themeColor="text1"/>
        </w:rPr>
        <w:t>(A)</w:t>
      </w:r>
      <w:r w:rsidRPr="00E51332">
        <w:rPr>
          <w:color w:val="000000" w:themeColor="text1"/>
          <w:u w:color="000000" w:themeColor="text1"/>
        </w:rPr>
        <w:tab/>
      </w:r>
      <w:r w:rsidRPr="00D53BCD">
        <w:rPr>
          <w:color w:val="000000" w:themeColor="text1"/>
          <w:u w:val="single" w:color="000000" w:themeColor="text1"/>
        </w:rPr>
        <w:t>As used in this section: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(1)</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Commission</w:t>
      </w:r>
      <w:r w:rsidR="00EE394F" w:rsidRPr="00EE394F">
        <w:rPr>
          <w:color w:val="000000" w:themeColor="text1"/>
          <w:u w:val="single" w:color="000000" w:themeColor="text1"/>
        </w:rPr>
        <w:t>’</w:t>
      </w:r>
      <w:r w:rsidRPr="00D53BCD">
        <w:rPr>
          <w:color w:val="000000" w:themeColor="text1"/>
          <w:u w:val="single" w:color="000000" w:themeColor="text1"/>
        </w:rPr>
        <w:t xml:space="preserve"> means the South Carolina State Ethics Commission.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(2)</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Candidate</w:t>
      </w:r>
      <w:r w:rsidR="00EE394F" w:rsidRPr="00EE394F">
        <w:rPr>
          <w:color w:val="000000" w:themeColor="text1"/>
          <w:u w:val="single" w:color="000000" w:themeColor="text1"/>
        </w:rPr>
        <w:t>’</w:t>
      </w:r>
      <w:r w:rsidRPr="00D53BCD">
        <w:rPr>
          <w:color w:val="000000" w:themeColor="text1"/>
          <w:u w:val="single" w:color="000000" w:themeColor="text1"/>
        </w:rPr>
        <w:t xml:space="preserve"> means a person who seeks appointment, nomination for election, or election to a state, local or federal office, or authorizes or knowingly permits the collection or disbursement of money for the promotion of his candidacy or election.  It also means a person on whose behalf write</w:t>
      </w:r>
      <w:r w:rsidR="00EE394F">
        <w:rPr>
          <w:color w:val="000000" w:themeColor="text1"/>
          <w:u w:val="single" w:color="000000" w:themeColor="text1"/>
        </w:rPr>
        <w:noBreakHyphen/>
      </w:r>
      <w:r w:rsidRPr="00D53BCD">
        <w:rPr>
          <w:color w:val="000000" w:themeColor="text1"/>
          <w:u w:val="single" w:color="000000" w:themeColor="text1"/>
        </w:rPr>
        <w:t xml:space="preserve">in votes are solicited if the person has knowledge of such solicitation.  </w:t>
      </w:r>
      <w:r w:rsidR="00EE394F" w:rsidRPr="00EE394F">
        <w:rPr>
          <w:color w:val="000000" w:themeColor="text1"/>
          <w:u w:val="single" w:color="000000" w:themeColor="text1"/>
        </w:rPr>
        <w:t>‘</w:t>
      </w:r>
      <w:r w:rsidRPr="00D53BCD">
        <w:rPr>
          <w:color w:val="000000" w:themeColor="text1"/>
          <w:u w:val="single" w:color="000000" w:themeColor="text1"/>
        </w:rPr>
        <w:t>Candidate</w:t>
      </w:r>
      <w:r w:rsidR="00EE394F" w:rsidRPr="00EE394F">
        <w:rPr>
          <w:color w:val="000000" w:themeColor="text1"/>
          <w:u w:val="single" w:color="000000" w:themeColor="text1"/>
        </w:rPr>
        <w:t>’</w:t>
      </w:r>
      <w:r w:rsidRPr="00D53BCD">
        <w:rPr>
          <w:color w:val="000000" w:themeColor="text1"/>
          <w:u w:val="single" w:color="000000" w:themeColor="text1"/>
        </w:rPr>
        <w:t xml:space="preserve"> does not include a person seeking a federal office whose geographical representation exceeds the state boundaries.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(3)</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IOCA</w:t>
      </w:r>
      <w:r w:rsidR="00EE394F" w:rsidRPr="00EE394F">
        <w:rPr>
          <w:color w:val="000000" w:themeColor="text1"/>
          <w:u w:val="single" w:color="000000" w:themeColor="text1"/>
        </w:rPr>
        <w:t>’</w:t>
      </w:r>
      <w:r w:rsidRPr="00D53BCD">
        <w:rPr>
          <w:color w:val="000000" w:themeColor="text1"/>
          <w:u w:val="single" w:color="000000" w:themeColor="text1"/>
        </w:rPr>
        <w:t xml:space="preserve"> means an Interest on Campaign Account benefiting the commission that is established with an eligible institution for the deposit of contributions. The account product may be an interest</w:t>
      </w:r>
      <w:r w:rsidR="00EE394F">
        <w:rPr>
          <w:color w:val="000000" w:themeColor="text1"/>
          <w:u w:val="single" w:color="000000" w:themeColor="text1"/>
        </w:rPr>
        <w:noBreakHyphen/>
      </w:r>
      <w:r w:rsidRPr="00D53BCD">
        <w:rPr>
          <w:color w:val="000000" w:themeColor="text1"/>
          <w:u w:val="single" w:color="000000" w:themeColor="text1"/>
        </w:rPr>
        <w:t>bearing account; a money market account with or tied to check writing; a sweep account that is a government money market fund or daily overnight financial institution repurchase agreement invested solely in or fully collateralized by United States government securities; or an open</w:t>
      </w:r>
      <w:r w:rsidR="00EE394F">
        <w:rPr>
          <w:color w:val="000000" w:themeColor="text1"/>
          <w:u w:val="single" w:color="000000" w:themeColor="text1"/>
        </w:rPr>
        <w:noBreakHyphen/>
      </w:r>
      <w:r w:rsidRPr="00D53BCD">
        <w:rPr>
          <w:color w:val="000000" w:themeColor="text1"/>
          <w:u w:val="single" w:color="000000" w:themeColor="text1"/>
        </w:rPr>
        <w:t>end money market fund solely invested in or fully collateralized by United States government securities.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(a)</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Open</w:t>
      </w:r>
      <w:r w:rsidR="00EE394F">
        <w:rPr>
          <w:color w:val="000000" w:themeColor="text1"/>
          <w:u w:val="single" w:color="000000" w:themeColor="text1"/>
        </w:rPr>
        <w:noBreakHyphen/>
      </w:r>
      <w:r w:rsidRPr="00D53BCD">
        <w:rPr>
          <w:color w:val="000000" w:themeColor="text1"/>
          <w:u w:val="single" w:color="000000" w:themeColor="text1"/>
        </w:rPr>
        <w:t>end money market fund</w:t>
      </w:r>
      <w:r w:rsidR="00EE394F" w:rsidRPr="00EE394F">
        <w:rPr>
          <w:color w:val="000000" w:themeColor="text1"/>
          <w:u w:val="single" w:color="000000" w:themeColor="text1"/>
        </w:rPr>
        <w:t>’</w:t>
      </w:r>
      <w:r w:rsidRPr="00D53BCD">
        <w:rPr>
          <w:color w:val="000000" w:themeColor="text1"/>
          <w:u w:val="single" w:color="000000" w:themeColor="text1"/>
        </w:rPr>
        <w:t xml:space="preserve"> means a fund holding itself out as a money market fund as defined by applicable federal statutes and regulations under the Investment Act of 1940 and, at the time of the investment, having total assets of at least </w:t>
      </w:r>
      <w:r>
        <w:rPr>
          <w:color w:val="000000" w:themeColor="text1"/>
          <w:u w:val="single" w:color="000000" w:themeColor="text1"/>
        </w:rPr>
        <w:t>two hundred fifty million dollars</w:t>
      </w:r>
      <w:r w:rsidRPr="00D53BCD">
        <w:rPr>
          <w:color w:val="000000" w:themeColor="text1"/>
          <w:u w:val="single" w:color="000000" w:themeColor="text1"/>
        </w:rPr>
        <w:t>.</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United States government securities</w:t>
      </w:r>
      <w:r w:rsidR="00EE394F" w:rsidRPr="00EE394F">
        <w:rPr>
          <w:color w:val="000000" w:themeColor="text1"/>
          <w:u w:val="single" w:color="000000" w:themeColor="text1"/>
        </w:rPr>
        <w:t>’</w:t>
      </w:r>
      <w:r w:rsidRPr="00D53BCD">
        <w:rPr>
          <w:color w:val="000000" w:themeColor="text1"/>
          <w:u w:val="single" w:color="000000" w:themeColor="text1"/>
        </w:rPr>
        <w:t xml:space="preserve"> means United States treasury obligations and obligations issued or guaranteed as to principal and interest by the United States or any agency or instrumentality thereof, incl</w:t>
      </w:r>
      <w:r>
        <w:rPr>
          <w:color w:val="000000" w:themeColor="text1"/>
          <w:u w:val="single" w:color="000000" w:themeColor="text1"/>
        </w:rPr>
        <w:t>uding obligations of government</w:t>
      </w:r>
      <w:r w:rsidR="00EE394F">
        <w:rPr>
          <w:color w:val="000000" w:themeColor="text1"/>
          <w:u w:val="single" w:color="000000" w:themeColor="text1"/>
        </w:rPr>
        <w:noBreakHyphen/>
      </w:r>
      <w:r w:rsidRPr="00D53BCD">
        <w:rPr>
          <w:color w:val="000000" w:themeColor="text1"/>
          <w:u w:val="single" w:color="000000" w:themeColor="text1"/>
        </w:rPr>
        <w:t>sponsored enterprises.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(4)</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Eligible institution</w:t>
      </w:r>
      <w:r w:rsidR="00EE394F" w:rsidRPr="00EE394F">
        <w:rPr>
          <w:color w:val="000000" w:themeColor="text1"/>
          <w:u w:val="single" w:color="000000" w:themeColor="text1"/>
        </w:rPr>
        <w:t>’</w:t>
      </w:r>
      <w:r w:rsidRPr="00D53BCD">
        <w:rPr>
          <w:color w:val="000000" w:themeColor="text1"/>
          <w:u w:val="single" w:color="000000" w:themeColor="text1"/>
        </w:rPr>
        <w:t xml:space="preserve"> means a financial institution with an office located within the State that conducts business within the State with the general public; that is authorized by federal or state laws to do business in South Carolina; and that is insured by the Federal Deposit Insurance Corporation, the National Credit Union Share Insurance Fund, or any successor insurance corporation established by federal or state laws.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(5)</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Reasonable fees</w:t>
      </w:r>
      <w:r w:rsidR="00EE394F" w:rsidRPr="00EE394F">
        <w:rPr>
          <w:color w:val="000000" w:themeColor="text1"/>
          <w:u w:val="single" w:color="000000" w:themeColor="text1"/>
        </w:rPr>
        <w:t>’</w:t>
      </w:r>
      <w:r w:rsidRPr="00D53BCD">
        <w:rPr>
          <w:color w:val="000000" w:themeColor="text1"/>
          <w:u w:val="single" w:color="000000" w:themeColor="text1"/>
        </w:rPr>
        <w:t xml:space="preserve"> for IOCAs are per check charges, per deposit charges, a fee in lieu of a minimum balance, federal deposit insurance fees, sweep fees, and a reasonable IOCA administrative fee.</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Pr="00D53BCD">
        <w:rPr>
          <w:color w:val="000000" w:themeColor="text1"/>
          <w:u w:val="single" w:color="000000" w:themeColor="text1"/>
        </w:rPr>
        <w:t>All contributions received by candidates shall be deposited into an IOCA.</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D53BCD">
        <w:rPr>
          <w:color w:val="000000" w:themeColor="text1"/>
          <w:u w:val="single" w:color="000000" w:themeColor="text1"/>
        </w:rPr>
        <w:t>(C)(1)</w:t>
      </w:r>
      <w:r w:rsidRPr="00E51332">
        <w:rPr>
          <w:color w:val="000000" w:themeColor="text1"/>
          <w:u w:color="000000" w:themeColor="text1"/>
        </w:rPr>
        <w:tab/>
      </w:r>
      <w:r w:rsidRPr="00D53BCD">
        <w:rPr>
          <w:color w:val="000000" w:themeColor="text1"/>
          <w:u w:val="single" w:color="000000" w:themeColor="text1"/>
        </w:rPr>
        <w:t>An IOCA must be established with an eligible institution that voluntarily chooses to participate. Funds deposited in an IOCA must be subject to withdrawal upon request without delay.</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(2)</w:t>
      </w:r>
      <w:r w:rsidRPr="00E51332">
        <w:rPr>
          <w:color w:val="000000" w:themeColor="text1"/>
          <w:u w:color="000000" w:themeColor="text1"/>
        </w:rPr>
        <w:tab/>
      </w:r>
      <w:r w:rsidRPr="00D53BCD">
        <w:rPr>
          <w:color w:val="000000" w:themeColor="text1"/>
          <w:u w:val="single" w:color="000000" w:themeColor="text1"/>
        </w:rPr>
        <w:t>The rate of interest or dividends payable on any IOCA must be no less than: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(a)</w:t>
      </w:r>
      <w:r w:rsidRPr="00E51332">
        <w:rPr>
          <w:color w:val="000000" w:themeColor="text1"/>
          <w:u w:color="000000" w:themeColor="text1"/>
        </w:rPr>
        <w:tab/>
      </w:r>
      <w:r w:rsidRPr="00D53BCD">
        <w:rPr>
          <w:color w:val="000000" w:themeColor="text1"/>
          <w:u w:val="single" w:color="000000" w:themeColor="text1"/>
        </w:rPr>
        <w:t>the highest interest rate or dividend generally available from the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for each IOCA that meets the same minimum balance or other eligibility qualifications, if any. In determining the highest interest rate or dividend generally available from the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the institution may consider factors, in addition to the IOCA balance, customarily considered by the institution when setting interest rates or dividends for its customers, if such factors do not discriminate between IOCAs and accounts of non</w:t>
      </w:r>
      <w:r w:rsidR="00EE394F">
        <w:rPr>
          <w:color w:val="000000" w:themeColor="text1"/>
          <w:u w:val="single" w:color="000000" w:themeColor="text1"/>
        </w:rPr>
        <w:noBreakHyphen/>
      </w:r>
      <w:r w:rsidRPr="00D53BCD">
        <w:rPr>
          <w:color w:val="000000" w:themeColor="text1"/>
          <w:u w:val="single" w:color="000000" w:themeColor="text1"/>
        </w:rPr>
        <w:t xml:space="preserve">IOCA customers and these factors do not include that the account is an IOCA. The institution also shall consider all product option types as provided in </w:t>
      </w:r>
      <w:r>
        <w:rPr>
          <w:color w:val="000000" w:themeColor="text1"/>
          <w:u w:val="single" w:color="000000" w:themeColor="text1"/>
        </w:rPr>
        <w:t>subsection</w:t>
      </w:r>
      <w:r w:rsidRPr="00D53BCD">
        <w:rPr>
          <w:color w:val="000000" w:themeColor="text1"/>
          <w:u w:val="single" w:color="000000" w:themeColor="text1"/>
        </w:rPr>
        <w:t xml:space="preserve"> (A)(2) for an IOCA offered by the financial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by either establishing the applicable product as an IOCA or paying the comparable interest rate or dividend on the IOCA in lieu of actually establishing the comparable highest interest rate or dividend product; or</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Pr="00D53BCD">
        <w:rPr>
          <w:color w:val="000000" w:themeColor="text1"/>
          <w:u w:val="single" w:color="000000" w:themeColor="text1"/>
        </w:rPr>
        <w:t xml:space="preserve">a rate equal to the greater of the </w:t>
      </w:r>
      <w:r w:rsidR="00EE394F" w:rsidRPr="00EE394F">
        <w:rPr>
          <w:color w:val="000000" w:themeColor="text1"/>
          <w:u w:val="single" w:color="000000" w:themeColor="text1"/>
        </w:rPr>
        <w:t>‘</w:t>
      </w:r>
      <w:r w:rsidRPr="00D53BCD">
        <w:rPr>
          <w:color w:val="000000" w:themeColor="text1"/>
          <w:u w:val="single" w:color="000000" w:themeColor="text1"/>
        </w:rPr>
        <w:t>index</w:t>
      </w:r>
      <w:r w:rsidR="00EE394F" w:rsidRPr="00EE394F">
        <w:rPr>
          <w:color w:val="000000" w:themeColor="text1"/>
          <w:u w:val="single" w:color="000000" w:themeColor="text1"/>
        </w:rPr>
        <w:t>’</w:t>
      </w:r>
      <w:r>
        <w:rPr>
          <w:color w:val="000000" w:themeColor="text1"/>
          <w:u w:val="single" w:color="000000" w:themeColor="text1"/>
        </w:rPr>
        <w:t>,</w:t>
      </w:r>
      <w:r w:rsidRPr="00D53BCD">
        <w:rPr>
          <w:color w:val="000000" w:themeColor="text1"/>
          <w:u w:val="single" w:color="000000" w:themeColor="text1"/>
        </w:rPr>
        <w:t xml:space="preserve"> 0.65</w:t>
      </w:r>
      <w:r>
        <w:rPr>
          <w:color w:val="000000" w:themeColor="text1"/>
          <w:u w:val="single" w:color="000000" w:themeColor="text1"/>
        </w:rPr>
        <w:t xml:space="preserve"> percent</w:t>
      </w:r>
      <w:r w:rsidRPr="00D53BCD">
        <w:rPr>
          <w:color w:val="000000" w:themeColor="text1"/>
          <w:u w:val="single" w:color="000000" w:themeColor="text1"/>
        </w:rPr>
        <w:t xml:space="preserve"> or 65</w:t>
      </w:r>
      <w:r>
        <w:rPr>
          <w:color w:val="000000" w:themeColor="text1"/>
          <w:u w:val="single" w:color="000000" w:themeColor="text1"/>
        </w:rPr>
        <w:t xml:space="preserve"> percent</w:t>
      </w:r>
      <w:r w:rsidRPr="00D53BCD">
        <w:rPr>
          <w:color w:val="000000" w:themeColor="text1"/>
          <w:u w:val="single" w:color="000000" w:themeColor="text1"/>
        </w:rPr>
        <w:t xml:space="preserve">, of the Federal Funds Target Rate, which is the </w:t>
      </w:r>
      <w:r w:rsidR="00EE394F" w:rsidRPr="00EE394F">
        <w:rPr>
          <w:color w:val="000000" w:themeColor="text1"/>
          <w:u w:val="single" w:color="000000" w:themeColor="text1"/>
        </w:rPr>
        <w:t>‘</w:t>
      </w:r>
      <w:r w:rsidRPr="00D53BCD">
        <w:rPr>
          <w:color w:val="000000" w:themeColor="text1"/>
          <w:u w:val="single" w:color="000000" w:themeColor="text1"/>
        </w:rPr>
        <w:t>benchmark</w:t>
      </w:r>
      <w:r w:rsidR="00EE394F" w:rsidRPr="00EE394F">
        <w:rPr>
          <w:color w:val="000000" w:themeColor="text1"/>
          <w:u w:val="single" w:color="000000" w:themeColor="text1"/>
        </w:rPr>
        <w:t>’</w:t>
      </w:r>
      <w:r>
        <w:rPr>
          <w:color w:val="000000" w:themeColor="text1"/>
          <w:u w:val="single" w:color="000000" w:themeColor="text1"/>
        </w:rPr>
        <w:t>,</w:t>
      </w:r>
      <w:r w:rsidRPr="00D53BCD">
        <w:rPr>
          <w:color w:val="000000" w:themeColor="text1"/>
          <w:u w:val="single" w:color="000000" w:themeColor="text1"/>
        </w:rPr>
        <w:t xml:space="preserve"> as of the first business day of the IOCA remitting period, a rate that is deemed to be net of reasonable fees on an IOCA. The index and benchmark are determined periodically, but no more frequently than every six months, by the commission to reflect an overall comparable rate for the commission. When applicable, the commission will express its benchmark in relation to the Federal Funds Target Rate.</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332">
        <w:rPr>
          <w:color w:val="000000" w:themeColor="text1"/>
          <w:u w:color="000000" w:themeColor="text1"/>
        </w:rPr>
        <w:tab/>
      </w:r>
      <w:r w:rsidRPr="00D53BCD">
        <w:rPr>
          <w:color w:val="000000" w:themeColor="text1"/>
          <w:u w:val="single" w:color="000000" w:themeColor="text1"/>
        </w:rPr>
        <w:t>(D)</w:t>
      </w:r>
      <w:r w:rsidRPr="00E51332">
        <w:rPr>
          <w:color w:val="000000" w:themeColor="text1"/>
          <w:u w:color="000000" w:themeColor="text1"/>
        </w:rPr>
        <w:tab/>
      </w:r>
      <w:r w:rsidRPr="00D53BCD">
        <w:rPr>
          <w:color w:val="000000" w:themeColor="text1"/>
          <w:u w:val="single" w:color="000000" w:themeColor="text1"/>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w:t>
      </w:r>
      <w:r w:rsidR="00EE394F" w:rsidRPr="00EE394F">
        <w:rPr>
          <w:color w:val="000000" w:themeColor="text1"/>
          <w:u w:val="single" w:color="000000" w:themeColor="text1"/>
        </w:rPr>
        <w:t>’</w:t>
      </w:r>
      <w:r w:rsidRPr="00D53BCD">
        <w:rPr>
          <w:color w:val="000000" w:themeColor="text1"/>
          <w:u w:val="single" w:color="000000" w:themeColor="text1"/>
        </w:rPr>
        <w:t>s address.</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tab/>
      </w:r>
      <w:r w:rsidRPr="00326551">
        <w:t>Except as is required for the separation of funds and expenditures under the provisions of Section 8</w:t>
      </w:r>
      <w:r w:rsidR="00EE394F">
        <w:noBreakHyphen/>
      </w:r>
      <w:r w:rsidRPr="00326551">
        <w:t>13</w:t>
      </w:r>
      <w:r w:rsidR="00EE394F">
        <w:noBreakHyphen/>
      </w:r>
      <w:r w:rsidRPr="00326551">
        <w:t xml:space="preserve">1300(7), a candidate shall not establish more than one </w:t>
      </w:r>
      <w:r w:rsidRPr="00655084">
        <w:rPr>
          <w:strike/>
        </w:rPr>
        <w:t>campaign checking account</w:t>
      </w:r>
      <w:r w:rsidRPr="00326551">
        <w:t xml:space="preserve"> </w:t>
      </w:r>
      <w:r>
        <w:rPr>
          <w:u w:val="single"/>
        </w:rPr>
        <w:t>IOCA</w:t>
      </w:r>
      <w:r>
        <w:t xml:space="preserve"> </w:t>
      </w:r>
      <w:r w:rsidRPr="00326551">
        <w:t xml:space="preserve">and one campaign savings account for each office sought, and a committee shall not establish more than one </w:t>
      </w:r>
      <w:r w:rsidRPr="00655084">
        <w:rPr>
          <w:strike/>
        </w:rPr>
        <w:t>checking account</w:t>
      </w:r>
      <w:r w:rsidRPr="00326551">
        <w:t xml:space="preserve"> </w:t>
      </w:r>
      <w:r>
        <w:rPr>
          <w:u w:val="single"/>
        </w:rPr>
        <w:t>IOCA</w:t>
      </w:r>
      <w:r>
        <w:t xml:space="preserve"> </w:t>
      </w:r>
      <w:r w:rsidRPr="00326551">
        <w:t xml:space="preserve">and one savings account unless federal or state law requires additional accounts. For purposes of this article, certificates of deposit or other interest bearing instruments are not considered separate accounts. </w:t>
      </w:r>
      <w:r w:rsidRPr="00E801DF">
        <w:rPr>
          <w:strike/>
        </w:rPr>
        <w:t>A candidate</w:t>
      </w:r>
      <w:r w:rsidR="00EE394F" w:rsidRPr="00EE394F">
        <w:rPr>
          <w:strike/>
        </w:rPr>
        <w:t>’</w:t>
      </w:r>
      <w:r w:rsidRPr="00E801DF">
        <w:rPr>
          <w:strike/>
        </w:rPr>
        <w:t>s accounts must be established in a financial institution that conducts business within the State and in an office located within the State that conducts business with the general public.</w:t>
      </w:r>
      <w:r w:rsidRPr="00326551">
        <w:t xml:space="preserve"> </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Pr="00326551">
        <w:t xml:space="preserve">The candidate or a duly authorized officer of a committee must maintain the </w:t>
      </w:r>
      <w:r w:rsidRPr="00E801DF">
        <w:rPr>
          <w:strike/>
        </w:rPr>
        <w:t>accounts</w:t>
      </w:r>
      <w:r>
        <w:t xml:space="preserve"> </w:t>
      </w:r>
      <w:r w:rsidRPr="00E801DF">
        <w:rPr>
          <w:u w:val="single"/>
        </w:rPr>
        <w:t>IOCAs</w:t>
      </w:r>
      <w:r w:rsidRPr="00326551">
        <w:t xml:space="preserve"> in the name of the candidate or committee. An acronym must not be used in the case of a candidate</w:t>
      </w:r>
      <w:r w:rsidR="00EE394F" w:rsidRPr="00EE394F">
        <w:t>’</w:t>
      </w:r>
      <w:r w:rsidRPr="00326551">
        <w:t>s accounts. An acronym or abbreviation may be used in the case of a committee</w:t>
      </w:r>
      <w:r w:rsidR="00EE394F" w:rsidRPr="00EE394F">
        <w:t>’</w:t>
      </w:r>
      <w:r w:rsidRPr="00326551">
        <w:t>s accounts if the acronym or abbreviation commonly is known or clearly re</w:t>
      </w:r>
      <w:r>
        <w:t>cognized by the general public.</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326551">
        <w:t>Except as otherwise provided under Section 8</w:t>
      </w:r>
      <w:r w:rsidR="00EE394F">
        <w:noBreakHyphen/>
      </w:r>
      <w:r w:rsidRPr="00326551">
        <w:t>13</w:t>
      </w:r>
      <w:r w:rsidR="00EE394F">
        <w:noBreakHyphen/>
      </w:r>
      <w:r w:rsidRPr="00326551">
        <w:t xml:space="preserve">1348(C), expenses paid on behalf of a candidate or committee must be drawn from the </w:t>
      </w:r>
      <w:r w:rsidRPr="00E801DF">
        <w:rPr>
          <w:strike/>
        </w:rPr>
        <w:t>campaign account</w:t>
      </w:r>
      <w:r w:rsidRPr="00326551">
        <w:t xml:space="preserve"> </w:t>
      </w:r>
      <w:r>
        <w:rPr>
          <w:u w:val="single"/>
        </w:rPr>
        <w:t>IOCA</w:t>
      </w:r>
      <w:r>
        <w:t xml:space="preserve"> </w:t>
      </w:r>
      <w:r w:rsidRPr="00326551">
        <w:t xml:space="preserve">and issued on a check signed by the candidate or a duly authorized officer of a committee. All contributions received by the candidate or committee, directly or indirectly, must be deposited in the </w:t>
      </w:r>
      <w:r w:rsidRPr="00E801DF">
        <w:rPr>
          <w:strike/>
        </w:rPr>
        <w:t>campaign account</w:t>
      </w:r>
      <w:r w:rsidRPr="00326551">
        <w:t xml:space="preserve"> </w:t>
      </w:r>
      <w:r>
        <w:rPr>
          <w:u w:val="single"/>
        </w:rPr>
        <w:t>IOCA</w:t>
      </w:r>
      <w:r>
        <w:t xml:space="preserve"> </w:t>
      </w:r>
      <w:r w:rsidRPr="00326551">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EE394F" w:rsidRPr="00EE394F">
        <w:t>’</w:t>
      </w:r>
      <w:r w:rsidRPr="00326551">
        <w:t>s Trust Fund.</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64959">
        <w:rPr>
          <w:color w:val="000000" w:themeColor="text1"/>
          <w:u w:val="single" w:color="000000" w:themeColor="text1"/>
        </w:rPr>
        <w:t>(H)</w:t>
      </w:r>
      <w:r w:rsidRPr="00E51332">
        <w:rPr>
          <w:color w:val="000000" w:themeColor="text1"/>
          <w:u w:color="000000" w:themeColor="text1"/>
        </w:rPr>
        <w:tab/>
      </w:r>
      <w:r w:rsidRPr="00E64959">
        <w:rPr>
          <w:color w:val="000000" w:themeColor="text1"/>
          <w:u w:val="single" w:color="000000" w:themeColor="text1"/>
        </w:rPr>
        <w:t>A candidate depositing contribution funds into an IOCA shall direct the depository institution to:</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64959">
        <w:rPr>
          <w:color w:val="000000" w:themeColor="text1"/>
          <w:u w:val="single" w:color="000000" w:themeColor="text1"/>
        </w:rPr>
        <w:t>(1)</w:t>
      </w:r>
      <w:r w:rsidRPr="00E51332">
        <w:rPr>
          <w:color w:val="000000" w:themeColor="text1"/>
          <w:u w:color="000000" w:themeColor="text1"/>
        </w:rPr>
        <w:tab/>
      </w:r>
      <w:r w:rsidRPr="00E64959">
        <w:rPr>
          <w:color w:val="000000" w:themeColor="text1"/>
          <w:u w:val="single" w:color="000000" w:themeColor="text1"/>
        </w:rPr>
        <w:t>calculate and remit interest or dividends, as net of reasonable service charges or fees, if any, on the average monthly balance in the account, or as otherwise computed in accordance with the institution</w:t>
      </w:r>
      <w:r w:rsidR="00EE394F" w:rsidRPr="00EE394F">
        <w:rPr>
          <w:color w:val="000000" w:themeColor="text1"/>
          <w:u w:val="single" w:color="000000" w:themeColor="text1"/>
        </w:rPr>
        <w:t>’</w:t>
      </w:r>
      <w:r w:rsidRPr="00E64959">
        <w:rPr>
          <w:color w:val="000000" w:themeColor="text1"/>
          <w:u w:val="single" w:color="000000" w:themeColor="text1"/>
        </w:rPr>
        <w:t>s standard accounting practice, monthly to the commission, which shall be the sole beneficial owner of the interest or dividends generated by the accounts;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64959">
        <w:rPr>
          <w:color w:val="000000" w:themeColor="text1"/>
          <w:u w:val="single" w:color="000000" w:themeColor="text1"/>
        </w:rPr>
        <w:t>(2)</w:t>
      </w:r>
      <w:r w:rsidRPr="00E51332">
        <w:rPr>
          <w:color w:val="000000" w:themeColor="text1"/>
          <w:u w:color="000000" w:themeColor="text1"/>
        </w:rPr>
        <w:tab/>
      </w:r>
      <w:r w:rsidRPr="00E64959">
        <w:rPr>
          <w:color w:val="000000" w:themeColor="text1"/>
          <w:u w:val="single" w:color="000000" w:themeColor="text1"/>
        </w:rPr>
        <w:t>transmit monthly to the commission a report, listing by account the name of the candidate or the committee for which each remittance is made, the candidate</w:t>
      </w:r>
      <w:r w:rsidR="00EE394F" w:rsidRPr="00EE394F">
        <w:rPr>
          <w:color w:val="000000" w:themeColor="text1"/>
          <w:u w:val="single" w:color="000000" w:themeColor="text1"/>
        </w:rPr>
        <w:t>’</w:t>
      </w:r>
      <w:r w:rsidRPr="00E64959">
        <w:rPr>
          <w:color w:val="000000" w:themeColor="text1"/>
          <w:u w:val="single" w:color="000000" w:themeColor="text1"/>
        </w:rPr>
        <w:t>s or the committee</w:t>
      </w:r>
      <w:r w:rsidR="00EE394F" w:rsidRPr="00EE394F">
        <w:rPr>
          <w:color w:val="000000" w:themeColor="text1"/>
          <w:u w:val="single" w:color="000000" w:themeColor="text1"/>
        </w:rPr>
        <w:t>’</w:t>
      </w:r>
      <w:r>
        <w:rPr>
          <w:color w:val="000000" w:themeColor="text1"/>
          <w:u w:val="single" w:color="000000" w:themeColor="text1"/>
        </w:rPr>
        <w:t xml:space="preserve">s IOCA </w:t>
      </w:r>
      <w:r w:rsidRPr="00E64959">
        <w:rPr>
          <w:color w:val="000000" w:themeColor="text1"/>
          <w:u w:val="single" w:color="000000" w:themeColor="text1"/>
        </w:rPr>
        <w:t>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 and</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64959">
        <w:rPr>
          <w:color w:val="000000" w:themeColor="text1"/>
          <w:u w:val="single" w:color="000000" w:themeColor="text1"/>
        </w:rPr>
        <w:t>(3)</w:t>
      </w:r>
      <w:r w:rsidRPr="00E51332">
        <w:rPr>
          <w:color w:val="000000" w:themeColor="text1"/>
          <w:u w:color="000000" w:themeColor="text1"/>
        </w:rPr>
        <w:tab/>
      </w:r>
      <w:r w:rsidRPr="00E64959">
        <w:rPr>
          <w:color w:val="000000" w:themeColor="text1"/>
          <w:u w:val="single" w:color="000000" w:themeColor="text1"/>
        </w:rPr>
        <w:t>transmit at least quarterly to the depositing candidate or committee a report or statement in accordance with normal procedures for reporting to its depositors.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(I)</w:t>
      </w:r>
      <w:r w:rsidRPr="00E51332">
        <w:rPr>
          <w:color w:val="000000" w:themeColor="text1"/>
          <w:u w:color="000000" w:themeColor="text1"/>
        </w:rPr>
        <w:tab/>
      </w:r>
      <w:r w:rsidRPr="00E64959">
        <w:rPr>
          <w:color w:val="000000" w:themeColor="text1"/>
          <w:u w:val="single" w:color="000000" w:themeColor="text1"/>
        </w:rPr>
        <w:t xml:space="preserve">Reasonable fees as defined in </w:t>
      </w:r>
      <w:r>
        <w:rPr>
          <w:color w:val="000000" w:themeColor="text1"/>
          <w:u w:val="single" w:color="000000" w:themeColor="text1"/>
        </w:rPr>
        <w:t>subsection</w:t>
      </w:r>
      <w:r w:rsidRPr="00E64959">
        <w:rPr>
          <w:color w:val="000000" w:themeColor="text1"/>
          <w:u w:val="single" w:color="000000" w:themeColor="text1"/>
        </w:rPr>
        <w:t xml:space="preserve"> (A)(4) may be deducted from interest or dividends on an IOCA provided that such charges or fees shall be calculated in accordance with an eligible institution</w:t>
      </w:r>
      <w:r w:rsidR="00EE394F" w:rsidRPr="00EE394F">
        <w:rPr>
          <w:color w:val="000000" w:themeColor="text1"/>
          <w:u w:val="single" w:color="000000" w:themeColor="text1"/>
        </w:rPr>
        <w:t>’</w:t>
      </w:r>
      <w:r w:rsidRPr="00E64959">
        <w:rPr>
          <w:color w:val="000000" w:themeColor="text1"/>
          <w:u w:val="single" w:color="000000" w:themeColor="text1"/>
        </w:rPr>
        <w:t>s standard practice for non</w:t>
      </w:r>
      <w:r w:rsidR="00EE394F">
        <w:rPr>
          <w:color w:val="000000" w:themeColor="text1"/>
          <w:u w:val="single" w:color="000000" w:themeColor="text1"/>
        </w:rPr>
        <w:noBreakHyphen/>
      </w:r>
      <w:r w:rsidRPr="00E64959">
        <w:rPr>
          <w:color w:val="000000" w:themeColor="text1"/>
          <w:u w:val="single" w:color="000000" w:themeColor="text1"/>
        </w:rPr>
        <w:t>IOCA customers. No other fees or charges shall be assessed against the interest on an IOCA but rather shall be the responsibility of, and may be charged to, the candidate maintaining the IOCA. Fees or charges in excess of the interest or dividend earned on the account for any month shall not be taken from interest or dividends earned on other IOCAs or from the principal of the account. Eligible institutions may elect to waive any or all fees on IOCAs.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(J)</w:t>
      </w:r>
      <w:r w:rsidRPr="00E51332">
        <w:rPr>
          <w:color w:val="000000" w:themeColor="text1"/>
          <w:u w:color="000000" w:themeColor="text1"/>
        </w:rPr>
        <w:tab/>
      </w:r>
      <w:r w:rsidRPr="00E64959">
        <w:rPr>
          <w:color w:val="000000" w:themeColor="text1"/>
          <w:u w:val="single" w:color="000000" w:themeColor="text1"/>
        </w:rPr>
        <w:t>Participating eligible institutions shall allow the commission view</w:t>
      </w:r>
      <w:r w:rsidR="00EE394F">
        <w:rPr>
          <w:color w:val="000000" w:themeColor="text1"/>
          <w:u w:val="single" w:color="000000" w:themeColor="text1"/>
        </w:rPr>
        <w:noBreakHyphen/>
      </w:r>
      <w:r w:rsidRPr="00E64959">
        <w:rPr>
          <w:color w:val="000000" w:themeColor="text1"/>
          <w:u w:val="single" w:color="000000" w:themeColor="text1"/>
        </w:rPr>
        <w:t>only access to IOCAs upon written request of the commission.</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(K)</w:t>
      </w:r>
      <w:r w:rsidRPr="00E51332">
        <w:rPr>
          <w:color w:val="000000" w:themeColor="text1"/>
          <w:u w:color="000000" w:themeColor="text1"/>
        </w:rPr>
        <w:tab/>
      </w:r>
      <w:r w:rsidRPr="00E64959">
        <w:rPr>
          <w:color w:val="000000" w:themeColor="text1"/>
          <w:u w:val="single" w:color="000000" w:themeColor="text1"/>
        </w:rPr>
        <w:t>The commission may levy a lien on any candidates IOCA</w:t>
      </w:r>
      <w:r w:rsidR="00EE394F" w:rsidRPr="00EE394F">
        <w:rPr>
          <w:color w:val="000000" w:themeColor="text1"/>
          <w:u w:val="single" w:color="000000" w:themeColor="text1"/>
        </w:rPr>
        <w:t>’</w:t>
      </w:r>
      <w:r w:rsidRPr="00E64959">
        <w:rPr>
          <w:color w:val="000000" w:themeColor="text1"/>
          <w:u w:val="single" w:color="000000" w:themeColor="text1"/>
        </w:rPr>
        <w:t>s account for outstanding ethics fines. A participating eligible institution shall hold a candidates IOCA</w:t>
      </w:r>
      <w:r w:rsidR="00EE394F" w:rsidRPr="00EE394F">
        <w:rPr>
          <w:color w:val="000000" w:themeColor="text1"/>
          <w:u w:val="single" w:color="000000" w:themeColor="text1"/>
        </w:rPr>
        <w:t>’</w:t>
      </w:r>
      <w:r w:rsidRPr="00E64959">
        <w:rPr>
          <w:color w:val="000000" w:themeColor="text1"/>
          <w:u w:val="single" w:color="000000" w:themeColor="text1"/>
        </w:rPr>
        <w:t xml:space="preserve">s funds in the amount provided in the verified lien filed with the institution by the commission.  </w:t>
      </w:r>
      <w:r>
        <w:rPr>
          <w:color w:val="000000" w:themeColor="text1"/>
          <w:u w:val="single" w:color="000000" w:themeColor="text1"/>
        </w:rPr>
        <w:t>The funds may be released upon o</w:t>
      </w:r>
      <w:r w:rsidRPr="00E64959">
        <w:rPr>
          <w:color w:val="000000" w:themeColor="text1"/>
          <w:u w:val="single" w:color="000000" w:themeColor="text1"/>
        </w:rPr>
        <w:t>rder of a court or agreement of the parties.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(L)</w:t>
      </w:r>
      <w:r w:rsidRPr="00E51332">
        <w:rPr>
          <w:color w:val="000000" w:themeColor="text1"/>
          <w:u w:color="000000" w:themeColor="text1"/>
        </w:rPr>
        <w:tab/>
      </w:r>
      <w:r w:rsidRPr="00E64959">
        <w:rPr>
          <w:color w:val="000000" w:themeColor="text1"/>
          <w:u w:val="single" w:color="000000" w:themeColor="text1"/>
        </w:rPr>
        <w:t>Each candidate or committee shall certify annually on the candidate</w:t>
      </w:r>
      <w:r w:rsidR="00EE394F" w:rsidRPr="00EE394F">
        <w:rPr>
          <w:color w:val="000000" w:themeColor="text1"/>
          <w:u w:val="single" w:color="000000" w:themeColor="text1"/>
        </w:rPr>
        <w:t>’</w:t>
      </w:r>
      <w:r w:rsidRPr="00E64959">
        <w:rPr>
          <w:color w:val="000000" w:themeColor="text1"/>
          <w:u w:val="single" w:color="000000" w:themeColor="text1"/>
        </w:rPr>
        <w:t>s or committee</w:t>
      </w:r>
      <w:r w:rsidR="00EE394F" w:rsidRPr="00EE394F">
        <w:rPr>
          <w:color w:val="000000" w:themeColor="text1"/>
          <w:u w:val="single" w:color="000000" w:themeColor="text1"/>
        </w:rPr>
        <w:t>’</w:t>
      </w:r>
      <w:r w:rsidRPr="00E64959">
        <w:rPr>
          <w:color w:val="000000" w:themeColor="text1"/>
          <w:u w:val="single" w:color="000000" w:themeColor="text1"/>
        </w:rPr>
        <w:t>s filings with the commission that he is in compliance with the provisions of this section.</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(M)</w:t>
      </w:r>
      <w:r w:rsidRPr="00E51332">
        <w:rPr>
          <w:color w:val="000000" w:themeColor="text1"/>
          <w:u w:color="000000" w:themeColor="text1"/>
        </w:rPr>
        <w:tab/>
      </w:r>
      <w:r w:rsidRPr="00E64959">
        <w:rPr>
          <w:color w:val="000000" w:themeColor="text1"/>
          <w:u w:val="single" w:color="000000" w:themeColor="text1"/>
        </w:rPr>
        <w:t>The commission shall, in accordance with its duties and responsibilities prescribed by law, receive, administer, invest, disburse, and separately account for all funds remitted to it pursuant to this section.</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332">
        <w:rPr>
          <w:color w:val="000000" w:themeColor="text1"/>
          <w:u w:color="000000" w:themeColor="text1"/>
        </w:rPr>
        <w:tab/>
      </w:r>
      <w:r w:rsidRPr="00E64959">
        <w:rPr>
          <w:color w:val="000000" w:themeColor="text1"/>
          <w:u w:val="single" w:color="000000" w:themeColor="text1"/>
        </w:rPr>
        <w:t>(N)</w:t>
      </w:r>
      <w:r w:rsidRPr="00E51332">
        <w:rPr>
          <w:color w:val="000000" w:themeColor="text1"/>
          <w:u w:color="000000" w:themeColor="text1"/>
        </w:rPr>
        <w:tab/>
      </w:r>
      <w:r w:rsidRPr="00E64959">
        <w:rPr>
          <w:color w:val="000000" w:themeColor="text1"/>
          <w:u w:val="single" w:color="000000" w:themeColor="text1"/>
        </w:rPr>
        <w:t>The funds remitted to the commission pursuant to this section shall be used by the commission to create positions within its employ to check and confirm the completeness and accuracy of candidate filings.</w:t>
      </w:r>
      <w:r>
        <w:rPr>
          <w:color w:val="000000" w:themeColor="text1"/>
          <w:u w:color="000000" w:themeColor="text1"/>
        </w:rPr>
        <w:t>”</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Pr="00A84941"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2.</w:t>
      </w:r>
      <w:r w:rsidRPr="00A84941">
        <w:rPr>
          <w:color w:val="000000" w:themeColor="text1"/>
          <w:u w:color="000000" w:themeColor="text1"/>
        </w:rPr>
        <w:tab/>
        <w:t>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320 of the 1976 Code is amended by adding an appropriately numbered item at the end to read:</w:t>
      </w:r>
    </w:p>
    <w:p w:rsidR="00320F96" w:rsidRPr="00A84941"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ab/>
        <w:t>“(</w:t>
      </w:r>
      <w:r w:rsidRPr="00A84941">
        <w:rPr>
          <w:color w:val="000000" w:themeColor="text1"/>
          <w:u w:color="000000" w:themeColor="text1"/>
        </w:rPr>
        <w:tab/>
        <w:t>)</w:t>
      </w:r>
      <w:r w:rsidRPr="00A84941">
        <w:rPr>
          <w:color w:val="000000" w:themeColor="text1"/>
          <w:u w:color="000000" w:themeColor="text1"/>
        </w:rPr>
        <w:tab/>
        <w:t>to receive, administer, invest, disburse, and separately account for funds remitted to it pursuant to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3.</w:t>
      </w:r>
      <w:r w:rsidRPr="00A84941">
        <w:rPr>
          <w:color w:val="000000" w:themeColor="text1"/>
          <w:u w:color="000000" w:themeColor="text1"/>
        </w:rPr>
        <w:tab/>
        <w:t>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340 of the 1976 Code is amended to read:</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2F4C"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EE394F">
        <w:noBreakHyphen/>
      </w:r>
      <w:r>
        <w:t>13</w:t>
      </w:r>
      <w:r w:rsidR="00EE394F">
        <w:noBreakHyphen/>
      </w:r>
      <w:r>
        <w:t>340.</w:t>
      </w:r>
      <w:r>
        <w:tab/>
      </w:r>
      <w:r w:rsidRPr="00326551">
        <w:t>The State Ethics Commission at the close of each fiscal year shall report to the General Assembly and the Governor concerning the action it has taken</w:t>
      </w:r>
      <w:r w:rsidRPr="006012BB">
        <w:rPr>
          <w:strike/>
        </w:rPr>
        <w:t>,</w:t>
      </w:r>
      <w:r>
        <w:rPr>
          <w:u w:val="single"/>
        </w:rPr>
        <w:t>;</w:t>
      </w:r>
      <w:r w:rsidRPr="00326551">
        <w:t xml:space="preserve"> the names, salaries, and duties of all persons in its employ</w:t>
      </w:r>
      <w:r w:rsidRPr="006012BB">
        <w:rPr>
          <w:strike/>
        </w:rPr>
        <w:t>,</w:t>
      </w:r>
      <w:r>
        <w:rPr>
          <w:u w:val="single"/>
        </w:rPr>
        <w:t>;</w:t>
      </w:r>
      <w:r w:rsidRPr="00326551">
        <w:t xml:space="preserve"> </w:t>
      </w:r>
      <w:r w:rsidRPr="006012BB">
        <w:rPr>
          <w:strike/>
        </w:rPr>
        <w:t>and</w:t>
      </w:r>
      <w:r w:rsidRPr="00326551">
        <w:t xml:space="preserve"> the money it has disbursed</w:t>
      </w:r>
      <w:r w:rsidRPr="006012BB">
        <w:rPr>
          <w:color w:val="000000" w:themeColor="text1"/>
          <w:u w:val="single" w:color="000000" w:themeColor="text1"/>
        </w:rPr>
        <w:t>; and the amount of funds it has received from Interest on Campaign Accounts (IOCAs)</w:t>
      </w:r>
      <w:r w:rsidRPr="00326551">
        <w:t xml:space="preserve"> and shall make other reports on matters within its jurisdiction and recommendations for further legislation as may appear desirable.</w:t>
      </w:r>
      <w:r>
        <w:t>”</w:t>
      </w: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F96">
        <w:t>4</w:t>
      </w:r>
      <w:r>
        <w:t>.</w:t>
      </w:r>
      <w:r>
        <w:tab/>
        <w:t>This act takes effect upon approval by the Governor.</w:t>
      </w:r>
    </w:p>
    <w:p w:rsidR="00435945" w:rsidRDefault="00EE39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312" w:rsidRDefault="000E5312" w:rsidP="000E5312">
      <w:pPr>
        <w:suppressAutoHyphens/>
      </w:pPr>
    </w:p>
    <w:sectPr w:rsidR="000E5312" w:rsidSect="000E53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F4C" w:rsidRDefault="00502F4C" w:rsidP="009F0C77">
      <w:r>
        <w:separator/>
      </w:r>
    </w:p>
  </w:endnote>
  <w:endnote w:type="continuationSeparator" w:id="0">
    <w:p w:rsidR="00502F4C" w:rsidRDefault="00502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74753A-3639-4066-9AB5-853E95E4F3A9}"/>
    <w:embedBold r:id="rId2" w:fontKey="{72A89CE4-C4EC-44F2-BF71-E741F68595AA}"/>
  </w:font>
  <w:font w:name="Calibri">
    <w:panose1 w:val="020F0502020204030204"/>
    <w:charset w:val="00"/>
    <w:family w:val="swiss"/>
    <w:pitch w:val="variable"/>
    <w:sig w:usb0="E4002EFF" w:usb1="C000247B" w:usb2="00000009" w:usb3="00000000" w:csb0="000001FF" w:csb1="00000000"/>
    <w:embedRegular r:id="rId3" w:fontKey="{4B9734D9-186D-4261-B62B-F799AE5DDAF5}"/>
  </w:font>
  <w:font w:name="Segoe UI">
    <w:panose1 w:val="020B0502040204020203"/>
    <w:charset w:val="00"/>
    <w:family w:val="swiss"/>
    <w:pitch w:val="variable"/>
    <w:sig w:usb0="E4002EFF" w:usb1="C000E47F" w:usb2="00000009" w:usb3="00000000" w:csb0="000001FF" w:csb1="00000000"/>
    <w:embedRegular r:id="rId4" w:fontKey="{2F8F0DAF-5CBF-4A79-84EE-CEEDB202B7A7}"/>
  </w:font>
  <w:font w:name="Cambria">
    <w:panose1 w:val="02040503050406030204"/>
    <w:charset w:val="00"/>
    <w:family w:val="roman"/>
    <w:pitch w:val="variable"/>
    <w:sig w:usb0="E00006FF" w:usb1="420024FF" w:usb2="02000000" w:usb3="00000000" w:csb0="0000019F" w:csb1="00000000"/>
    <w:embedRegular r:id="rId5" w:fontKey="{7A503CDA-BC1C-44CF-A6BD-6751B5C588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312" w:rsidRPr="00A73C50" w:rsidRDefault="000E5312" w:rsidP="00A73C50">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sidR="001C1C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F4C" w:rsidRDefault="00502F4C" w:rsidP="009F0C77">
      <w:r>
        <w:separator/>
      </w:r>
    </w:p>
  </w:footnote>
  <w:footnote w:type="continuationSeparator" w:id="0">
    <w:p w:rsidR="00502F4C" w:rsidRDefault="00502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47ZW21"/>
    <w:docVar w:name="CoverBillType" w:val="b"/>
    <w:docVar w:name="DocPath" w:val="L:\Council\bills\CC\15847ZW21.DOCX"/>
    <w:docVar w:name="dvBillNumber" w:val="187"/>
    <w:docVar w:name="dvBillNumberPrefix" w:val="S. "/>
    <w:docVar w:name="dvOriginalBody" w:val="Senate"/>
    <w:docVar w:name="dvSteno" w:val="CC"/>
    <w:docVar w:name="NameofBody" w:val="s"/>
    <w:docVar w:name="vGroup2" w:val="Council"/>
  </w:docVars>
  <w:rsids>
    <w:rsidRoot w:val="00502F4C"/>
    <w:rsid w:val="000263D9"/>
    <w:rsid w:val="00026C9A"/>
    <w:rsid w:val="00044936"/>
    <w:rsid w:val="000965A1"/>
    <w:rsid w:val="000C487D"/>
    <w:rsid w:val="000E1785"/>
    <w:rsid w:val="000E5312"/>
    <w:rsid w:val="000F39F2"/>
    <w:rsid w:val="001023A4"/>
    <w:rsid w:val="0010776B"/>
    <w:rsid w:val="00133E66"/>
    <w:rsid w:val="00134ACF"/>
    <w:rsid w:val="00144E15"/>
    <w:rsid w:val="0016429E"/>
    <w:rsid w:val="001A4A62"/>
    <w:rsid w:val="001A681E"/>
    <w:rsid w:val="001C1C69"/>
    <w:rsid w:val="001D08F2"/>
    <w:rsid w:val="002037CA"/>
    <w:rsid w:val="002047A2"/>
    <w:rsid w:val="002321B6"/>
    <w:rsid w:val="0023696B"/>
    <w:rsid w:val="00250967"/>
    <w:rsid w:val="002759C5"/>
    <w:rsid w:val="00277DEE"/>
    <w:rsid w:val="00280D88"/>
    <w:rsid w:val="00294ABE"/>
    <w:rsid w:val="002A3EB4"/>
    <w:rsid w:val="002C5719"/>
    <w:rsid w:val="00320F96"/>
    <w:rsid w:val="00325348"/>
    <w:rsid w:val="00393688"/>
    <w:rsid w:val="003D411E"/>
    <w:rsid w:val="003E3C1E"/>
    <w:rsid w:val="003E6148"/>
    <w:rsid w:val="003E7D04"/>
    <w:rsid w:val="00400EAA"/>
    <w:rsid w:val="0041760A"/>
    <w:rsid w:val="004203D7"/>
    <w:rsid w:val="00423F46"/>
    <w:rsid w:val="00435945"/>
    <w:rsid w:val="00461588"/>
    <w:rsid w:val="004809EE"/>
    <w:rsid w:val="004B2A8B"/>
    <w:rsid w:val="004F06A6"/>
    <w:rsid w:val="00502F4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7D3"/>
    <w:rsid w:val="00786819"/>
    <w:rsid w:val="007A325A"/>
    <w:rsid w:val="007C3099"/>
    <w:rsid w:val="007E72BE"/>
    <w:rsid w:val="007F1523"/>
    <w:rsid w:val="007F509E"/>
    <w:rsid w:val="007F5799"/>
    <w:rsid w:val="007F6947"/>
    <w:rsid w:val="00834A12"/>
    <w:rsid w:val="00872729"/>
    <w:rsid w:val="00876D06"/>
    <w:rsid w:val="008F4429"/>
    <w:rsid w:val="00932670"/>
    <w:rsid w:val="009352BB"/>
    <w:rsid w:val="00990668"/>
    <w:rsid w:val="009B397B"/>
    <w:rsid w:val="009F0C77"/>
    <w:rsid w:val="009F4DD1"/>
    <w:rsid w:val="00A522C9"/>
    <w:rsid w:val="00A64E80"/>
    <w:rsid w:val="00A73C50"/>
    <w:rsid w:val="00A741D9"/>
    <w:rsid w:val="00A7702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1B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094F"/>
    <w:rsid w:val="00EE394F"/>
    <w:rsid w:val="00EF3EEE"/>
    <w:rsid w:val="00F149A7"/>
    <w:rsid w:val="00F36943"/>
    <w:rsid w:val="00F50BAF"/>
    <w:rsid w:val="00F520BB"/>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CAED2-87DA-4030-A193-DE2D0BEA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43"/>
    <w:rPr>
      <w:rFonts w:ascii="Segoe UI" w:eastAsia="Times New Roman" w:hAnsi="Segoe UI" w:cs="Segoe UI"/>
      <w:sz w:val="18"/>
      <w:szCs w:val="18"/>
    </w:rPr>
  </w:style>
  <w:style w:type="character" w:styleId="Hyperlink">
    <w:name w:val="Hyperlink"/>
    <w:basedOn w:val="DefaultParagraphFont"/>
    <w:uiPriority w:val="99"/>
    <w:unhideWhenUsed/>
    <w:rsid w:val="000E5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6F85D-0967-4476-BDA5-8FA551A7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187: Subject not yet available - South Carolina Legislature Online</dc:title>
  <dc:subject/>
  <dc:creator>Chris Charlton</dc:creator>
  <cp:keywords/>
  <dc:description/>
  <cp:lastModifiedBy>S Wilson</cp:lastModifiedBy>
  <cp:revision>2</cp:revision>
  <cp:lastPrinted>2020-12-01T21:43:00Z</cp:lastPrinted>
  <dcterms:created xsi:type="dcterms:W3CDTF">2021-08-16T14:36:00Z</dcterms:created>
  <dcterms:modified xsi:type="dcterms:W3CDTF">2021-08-16T14:36:00Z</dcterms:modified>
</cp:coreProperties>
</file>