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D162D" w:rsidRDefault="00ED162D" w:rsidP="00ED162D">
      <w:pPr>
        <w:widowControl w:val="0"/>
        <w:jc w:val="center"/>
      </w:pPr>
      <w:r w:rsidRPr="00ED162D">
        <w:rPr>
          <w:b/>
        </w:rPr>
        <w:t>South Carolina General Assembly</w:t>
      </w:r>
    </w:p>
    <w:p w:rsidR="00ED162D" w:rsidRDefault="00ED162D" w:rsidP="00ED162D">
      <w:pPr>
        <w:widowControl w:val="0"/>
        <w:jc w:val="center"/>
      </w:pPr>
      <w:r>
        <w:t>124th Session, 2021-2022</w:t>
      </w:r>
    </w:p>
    <w:p w:rsidR="00ED162D" w:rsidRDefault="00ED162D" w:rsidP="00ED162D">
      <w:pPr>
        <w:widowControl w:val="0"/>
      </w:pPr>
    </w:p>
    <w:p w:rsidR="00ED162D" w:rsidRDefault="00ED162D" w:rsidP="00ED162D">
      <w:pPr>
        <w:widowControl w:val="0"/>
        <w:rPr>
          <w:b/>
        </w:rPr>
      </w:pPr>
      <w:r w:rsidRPr="00ED162D">
        <w:rPr>
          <w:b/>
        </w:rPr>
        <w:t>S.</w:t>
      </w:r>
      <w:r>
        <w:rPr>
          <w:b/>
        </w:rPr>
        <w:t xml:space="preserve"> </w:t>
      </w:r>
      <w:r w:rsidRPr="00ED162D">
        <w:rPr>
          <w:b/>
        </w:rPr>
        <w:t>473</w:t>
      </w:r>
    </w:p>
    <w:p w:rsidR="00ED162D" w:rsidRDefault="00ED162D" w:rsidP="00ED162D">
      <w:pPr>
        <w:widowControl w:val="0"/>
        <w:rPr>
          <w:b/>
        </w:rPr>
      </w:pPr>
    </w:p>
    <w:p w:rsidR="00ED162D" w:rsidRDefault="00ED162D" w:rsidP="00ED162D">
      <w:pPr>
        <w:widowControl w:val="0"/>
      </w:pPr>
      <w:r w:rsidRPr="00ED162D">
        <w:rPr>
          <w:b/>
        </w:rPr>
        <w:t>STATUS INFORMATION</w:t>
      </w:r>
    </w:p>
    <w:p w:rsidR="00ED162D" w:rsidRDefault="00ED162D" w:rsidP="00ED162D">
      <w:pPr>
        <w:widowControl w:val="0"/>
      </w:pPr>
    </w:p>
    <w:p w:rsidR="00ED162D" w:rsidRDefault="00ED162D" w:rsidP="00ED162D">
      <w:pPr>
        <w:widowControl w:val="0"/>
      </w:pPr>
      <w:r>
        <w:t>General Bill</w:t>
      </w:r>
    </w:p>
    <w:p w:rsidR="00ED162D" w:rsidRDefault="00ED162D" w:rsidP="00ED162D">
      <w:pPr>
        <w:widowControl w:val="0"/>
      </w:pPr>
      <w:r>
        <w:t>Sponsors: Senator Rankin</w:t>
      </w:r>
    </w:p>
    <w:p w:rsidR="00ED162D" w:rsidRDefault="00ED162D" w:rsidP="00ED162D">
      <w:pPr>
        <w:widowControl w:val="0"/>
      </w:pPr>
      <w:r>
        <w:t>Document Path: l:\s-jud\bills\rankin\jud0021.sw.docx</w:t>
      </w:r>
    </w:p>
    <w:p w:rsidR="00A879A7" w:rsidRDefault="00A879A7" w:rsidP="00ED162D">
      <w:pPr>
        <w:widowControl w:val="0"/>
      </w:pPr>
      <w:r>
        <w:t>Companion/Similar bill(s): 380</w:t>
      </w:r>
    </w:p>
    <w:p w:rsidR="00ED162D" w:rsidRDefault="00ED162D" w:rsidP="00ED162D">
      <w:pPr>
        <w:widowControl w:val="0"/>
      </w:pPr>
    </w:p>
    <w:p w:rsidR="00ED162D" w:rsidRDefault="00ED162D" w:rsidP="00ED162D">
      <w:pPr>
        <w:widowControl w:val="0"/>
      </w:pPr>
      <w:r>
        <w:t>Introduced in the Senate on January 14, 2021</w:t>
      </w:r>
    </w:p>
    <w:p w:rsidR="00ED162D" w:rsidRDefault="00ED162D" w:rsidP="00ED162D">
      <w:pPr>
        <w:widowControl w:val="0"/>
      </w:pPr>
      <w:r>
        <w:t xml:space="preserve">Currently residing in the Senate Committee on </w:t>
      </w:r>
      <w:r w:rsidRPr="00ED162D">
        <w:rPr>
          <w:b/>
        </w:rPr>
        <w:t>Judiciary</w:t>
      </w:r>
    </w:p>
    <w:p w:rsidR="00ED162D" w:rsidRDefault="00ED162D" w:rsidP="00ED162D">
      <w:pPr>
        <w:widowControl w:val="0"/>
      </w:pPr>
    </w:p>
    <w:p w:rsidR="00ED162D" w:rsidRDefault="00BD3C7E" w:rsidP="00ED162D">
      <w:pPr>
        <w:widowControl w:val="0"/>
      </w:pPr>
      <w:r>
        <w:t>Summary: Judgement of executions</w:t>
      </w:r>
    </w:p>
    <w:p w:rsidR="00ED162D" w:rsidRDefault="00ED162D" w:rsidP="00ED162D">
      <w:pPr>
        <w:widowControl w:val="0"/>
      </w:pPr>
    </w:p>
    <w:p w:rsidR="00ED162D" w:rsidRDefault="00ED162D" w:rsidP="00ED162D">
      <w:pPr>
        <w:widowControl w:val="0"/>
      </w:pPr>
    </w:p>
    <w:p w:rsidR="00ED162D" w:rsidRDefault="00ED162D" w:rsidP="00ED162D">
      <w:pPr>
        <w:widowControl w:val="0"/>
        <w:tabs>
          <w:tab w:val="center" w:pos="590"/>
          <w:tab w:val="center" w:pos="1440"/>
          <w:tab w:val="left" w:pos="1872"/>
          <w:tab w:val="left" w:pos="9187"/>
        </w:tabs>
      </w:pPr>
      <w:r w:rsidRPr="00ED162D">
        <w:rPr>
          <w:b/>
        </w:rPr>
        <w:t>HISTORY OF LEGISLATIVE ACTIONS</w:t>
      </w:r>
    </w:p>
    <w:p w:rsidR="00ED162D" w:rsidRDefault="00ED162D" w:rsidP="00ED162D">
      <w:pPr>
        <w:widowControl w:val="0"/>
        <w:tabs>
          <w:tab w:val="center" w:pos="590"/>
          <w:tab w:val="center" w:pos="1440"/>
          <w:tab w:val="left" w:pos="1872"/>
          <w:tab w:val="left" w:pos="9187"/>
        </w:tabs>
      </w:pPr>
    </w:p>
    <w:p w:rsidR="00ED162D" w:rsidRPr="00ED162D" w:rsidRDefault="00ED162D" w:rsidP="00ED162D">
      <w:pPr>
        <w:widowControl w:val="0"/>
        <w:tabs>
          <w:tab w:val="center" w:pos="590"/>
          <w:tab w:val="center" w:pos="1440"/>
          <w:tab w:val="left" w:pos="1872"/>
          <w:tab w:val="left" w:pos="9187"/>
        </w:tabs>
      </w:pPr>
      <w:r w:rsidRPr="00ED162D">
        <w:rPr>
          <w:u w:val="single"/>
        </w:rPr>
        <w:tab/>
        <w:t>Date</w:t>
      </w:r>
      <w:r w:rsidRPr="00ED162D">
        <w:rPr>
          <w:u w:val="single"/>
        </w:rPr>
        <w:tab/>
        <w:t>Body</w:t>
      </w:r>
      <w:r w:rsidRPr="00ED162D">
        <w:rPr>
          <w:u w:val="single"/>
        </w:rPr>
        <w:tab/>
        <w:t>Action Description with journal page number</w:t>
      </w:r>
      <w:r w:rsidRPr="00ED162D">
        <w:rPr>
          <w:u w:val="single"/>
        </w:rPr>
        <w:tab/>
      </w:r>
    </w:p>
    <w:p w:rsidR="00D139E6" w:rsidRDefault="00D139E6" w:rsidP="00D139E6">
      <w:pPr>
        <w:widowControl w:val="0"/>
        <w:tabs>
          <w:tab w:val="right" w:pos="1008"/>
          <w:tab w:val="left" w:pos="1152"/>
          <w:tab w:val="left" w:pos="1872"/>
          <w:tab w:val="left" w:pos="9187"/>
        </w:tabs>
        <w:ind w:left="2088" w:hanging="2088"/>
      </w:pPr>
      <w:r>
        <w:tab/>
        <w:t>1/14/2021</w:t>
      </w:r>
      <w:r>
        <w:tab/>
        <w:t>Senate</w:t>
      </w:r>
      <w:r>
        <w:tab/>
        <w:t>Introduced and read first time (</w:t>
      </w:r>
      <w:hyperlink r:id="rId6" w:history="1">
        <w:r w:rsidRPr="001A4C7A">
          <w:rPr>
            <w:rStyle w:val="Hyperlink"/>
          </w:rPr>
          <w:t>Senate Journal</w:t>
        </w:r>
        <w:r w:rsidRPr="001A4C7A">
          <w:rPr>
            <w:rStyle w:val="Hyperlink"/>
          </w:rPr>
          <w:noBreakHyphen/>
          <w:t>page 4</w:t>
        </w:r>
      </w:hyperlink>
      <w:r>
        <w:t>)</w:t>
      </w:r>
    </w:p>
    <w:p w:rsidR="00D139E6" w:rsidRDefault="00D139E6" w:rsidP="00D139E6">
      <w:pPr>
        <w:widowControl w:val="0"/>
        <w:tabs>
          <w:tab w:val="right" w:pos="1008"/>
          <w:tab w:val="left" w:pos="1152"/>
          <w:tab w:val="left" w:pos="1872"/>
          <w:tab w:val="left" w:pos="9187"/>
        </w:tabs>
        <w:ind w:left="2088" w:hanging="2088"/>
      </w:pPr>
      <w:r>
        <w:tab/>
        <w:t>1/14/2021</w:t>
      </w:r>
      <w:r>
        <w:tab/>
        <w:t>Senate</w:t>
      </w:r>
      <w:r>
        <w:tab/>
        <w:t xml:space="preserve">Referred to Committee on </w:t>
      </w:r>
      <w:r w:rsidRPr="001A4C7A">
        <w:rPr>
          <w:b/>
        </w:rPr>
        <w:t>Judiciary</w:t>
      </w:r>
      <w:r>
        <w:t xml:space="preserve"> (</w:t>
      </w:r>
      <w:hyperlink r:id="rId7" w:history="1">
        <w:r w:rsidRPr="001A4C7A">
          <w:rPr>
            <w:rStyle w:val="Hyperlink"/>
          </w:rPr>
          <w:t>Senate Journal</w:t>
        </w:r>
        <w:r w:rsidRPr="001A4C7A">
          <w:rPr>
            <w:rStyle w:val="Hyperlink"/>
          </w:rPr>
          <w:noBreakHyphen/>
          <w:t>page 4</w:t>
        </w:r>
      </w:hyperlink>
      <w:r>
        <w:t>)</w:t>
      </w:r>
    </w:p>
    <w:p w:rsidR="00D139E6" w:rsidRDefault="00D139E6" w:rsidP="00D139E6">
      <w:pPr>
        <w:widowControl w:val="0"/>
        <w:tabs>
          <w:tab w:val="right" w:pos="1008"/>
          <w:tab w:val="left" w:pos="1152"/>
          <w:tab w:val="left" w:pos="1872"/>
          <w:tab w:val="left" w:pos="9187"/>
        </w:tabs>
        <w:ind w:left="2088" w:hanging="2088"/>
      </w:pPr>
      <w:r>
        <w:tab/>
        <w:t>2/23/2022</w:t>
      </w:r>
      <w:r>
        <w:tab/>
        <w:t>Senate</w:t>
      </w:r>
      <w:r>
        <w:tab/>
        <w:t>Referred to Subcommittee:  M.Johnson (ch), Sabb, Matthews, Garrett</w:t>
      </w:r>
    </w:p>
    <w:p w:rsidR="00D139E6" w:rsidRDefault="00D139E6" w:rsidP="00D139E6">
      <w:pPr>
        <w:widowControl w:val="0"/>
        <w:tabs>
          <w:tab w:val="right" w:pos="1008"/>
          <w:tab w:val="left" w:pos="1152"/>
          <w:tab w:val="left" w:pos="1872"/>
          <w:tab w:val="left" w:pos="9187"/>
        </w:tabs>
        <w:ind w:left="2088" w:hanging="2088"/>
      </w:pPr>
      <w:r>
        <w:tab/>
        <w:t>4/6/2022</w:t>
      </w:r>
      <w:r>
        <w:tab/>
        <w:t>Senate</w:t>
      </w:r>
      <w:r>
        <w:tab/>
        <w:t>Referred to Subcommittee:  M.Johnson (ch), Sabb, Matthews, Talley, Garrett</w:t>
      </w:r>
    </w:p>
    <w:p w:rsidR="00D139E6" w:rsidRDefault="00D139E6" w:rsidP="00D139E6">
      <w:pPr>
        <w:widowControl w:val="0"/>
        <w:tabs>
          <w:tab w:val="right" w:pos="1008"/>
          <w:tab w:val="left" w:pos="1152"/>
          <w:tab w:val="left" w:pos="1872"/>
          <w:tab w:val="left" w:pos="9187"/>
        </w:tabs>
        <w:ind w:left="2088" w:hanging="2088"/>
      </w:pPr>
    </w:p>
    <w:p w:rsidR="00ED162D" w:rsidRDefault="00ED162D" w:rsidP="00ED162D">
      <w:pPr>
        <w:widowControl w:val="0"/>
        <w:tabs>
          <w:tab w:val="right" w:pos="1008"/>
          <w:tab w:val="left" w:pos="1152"/>
          <w:tab w:val="left" w:pos="1872"/>
          <w:tab w:val="left" w:pos="9187"/>
        </w:tabs>
        <w:ind w:left="2088" w:hanging="2088"/>
      </w:pPr>
      <w:r>
        <w:t xml:space="preserve">View the latest </w:t>
      </w:r>
      <w:hyperlink r:id="rId8" w:history="1">
        <w:r w:rsidRPr="00ED162D">
          <w:rPr>
            <w:rStyle w:val="Hyperlink"/>
          </w:rPr>
          <w:t>legislative information</w:t>
        </w:r>
      </w:hyperlink>
      <w:r>
        <w:t xml:space="preserve"> at the website</w:t>
      </w:r>
    </w:p>
    <w:p w:rsidR="00ED162D" w:rsidRDefault="00ED162D" w:rsidP="00ED162D">
      <w:pPr>
        <w:widowControl w:val="0"/>
        <w:tabs>
          <w:tab w:val="right" w:pos="1008"/>
          <w:tab w:val="left" w:pos="1152"/>
          <w:tab w:val="left" w:pos="1872"/>
          <w:tab w:val="left" w:pos="9187"/>
        </w:tabs>
        <w:ind w:left="2088" w:hanging="2088"/>
      </w:pPr>
    </w:p>
    <w:p w:rsidR="00ED162D" w:rsidRPr="00ED162D" w:rsidRDefault="00ED162D" w:rsidP="00ED162D">
      <w:pPr>
        <w:widowControl w:val="0"/>
        <w:tabs>
          <w:tab w:val="right" w:pos="1008"/>
          <w:tab w:val="left" w:pos="1152"/>
          <w:tab w:val="left" w:pos="1872"/>
          <w:tab w:val="left" w:pos="9187"/>
        </w:tabs>
        <w:ind w:left="2088" w:hanging="2088"/>
      </w:pPr>
    </w:p>
    <w:p w:rsidR="00ED162D" w:rsidRDefault="00ED162D" w:rsidP="00ED162D">
      <w:pPr>
        <w:widowControl w:val="0"/>
      </w:pPr>
      <w:r w:rsidRPr="00ED162D">
        <w:rPr>
          <w:b/>
        </w:rPr>
        <w:t>VERSIONS OF THIS BILL</w:t>
      </w:r>
    </w:p>
    <w:p w:rsidR="00ED162D" w:rsidRDefault="00ED162D" w:rsidP="00ED162D">
      <w:pPr>
        <w:widowControl w:val="0"/>
      </w:pPr>
    </w:p>
    <w:p w:rsidR="00ED162D" w:rsidRDefault="004E14B9" w:rsidP="00ED162D">
      <w:pPr>
        <w:widowControl w:val="0"/>
      </w:pPr>
      <w:hyperlink r:id="rId9" w:history="1">
        <w:r w:rsidR="00ED162D">
          <w:rPr>
            <w:rStyle w:val="Hyperlink"/>
          </w:rPr>
          <w:t>1/14/2021</w:t>
        </w:r>
      </w:hyperlink>
    </w:p>
    <w:p w:rsidR="00ED162D" w:rsidRDefault="00ED162D" w:rsidP="00ED162D"/>
    <w:p w:rsidR="00ED162D" w:rsidRDefault="00ED162D" w:rsidP="00ED162D">
      <w:pPr>
        <w:sectPr w:rsidR="00ED162D" w:rsidSect="00ED162D">
          <w:pgSz w:w="12240" w:h="15840" w:code="1"/>
          <w:pgMar w:top="1080" w:right="1440" w:bottom="1080" w:left="1440" w:header="720" w:footer="720" w:gutter="0"/>
          <w:cols w:space="720"/>
          <w:noEndnote/>
          <w:docGrid w:linePitch="360"/>
        </w:sectPr>
      </w:pPr>
    </w:p>
    <w:p w:rsidR="0049151B" w:rsidRDefault="004915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4915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673F78">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00878" w:rsidRDefault="00F00878" w:rsidP="00F00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sidRPr="00687A93">
        <w:rPr>
          <w:rFonts w:eastAsia="Times New Roman"/>
        </w:rPr>
        <w:t>TO AMEND SECTION 15</w:t>
      </w:r>
      <w:r w:rsidRPr="00687A93">
        <w:rPr>
          <w:rFonts w:eastAsia="Times New Roman"/>
        </w:rPr>
        <w:noBreakHyphen/>
        <w:t>39</w:t>
      </w:r>
      <w:r w:rsidRPr="00687A93">
        <w:rPr>
          <w:rFonts w:eastAsia="Times New Roman"/>
        </w:rPr>
        <w:noBreakHyphen/>
        <w:t xml:space="preserve">20, CODE OF LAWS OF SOUTH CAROLINA, 1976, RELATING TO </w:t>
      </w:r>
      <w:r>
        <w:rPr>
          <w:rFonts w:eastAsia="Times New Roman"/>
        </w:rPr>
        <w:t xml:space="preserve">THE ENFORCEMENT OF </w:t>
      </w:r>
      <w:r w:rsidRPr="00687A93">
        <w:rPr>
          <w:rFonts w:eastAsia="Times New Roman"/>
        </w:rPr>
        <w:t>JUDGMENT EXECUTIONS, SO AS TO PROVIDE FOR A NEW PROCEDURE;</w:t>
      </w:r>
      <w:r>
        <w:rPr>
          <w:rFonts w:eastAsia="Times New Roman"/>
        </w:rPr>
        <w:t xml:space="preserve"> </w:t>
      </w:r>
      <w:r w:rsidRPr="00687A93">
        <w:rPr>
          <w:rFonts w:eastAsia="Times New Roman"/>
        </w:rPr>
        <w:t>AND TO AMEND SECTION 15</w:t>
      </w:r>
      <w:r w:rsidRPr="00687A93">
        <w:rPr>
          <w:rFonts w:eastAsia="Times New Roman"/>
        </w:rPr>
        <w:noBreakHyphen/>
        <w:t>39</w:t>
      </w:r>
      <w:r w:rsidRPr="00687A93">
        <w:rPr>
          <w:rFonts w:eastAsia="Times New Roman"/>
        </w:rPr>
        <w:noBreakHyphen/>
        <w:t>30, RELATING TO ISSUANCE OF EXECUTIONS, SO AS TO</w:t>
      </w:r>
      <w:r>
        <w:rPr>
          <w:rFonts w:eastAsia="Times New Roman"/>
        </w:rPr>
        <w:t xml:space="preserve"> PROVIDE THE CIRCUMSTANCES IN WHICH A FINAL JUDGMENT SHALL HAVE ACTIVE ENERGY BEYOND THE TEN-YEAR PERIOD.</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48767B" w:rsidRDefault="0048767B" w:rsidP="00487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48767B" w:rsidRDefault="0048767B" w:rsidP="00487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8767B" w:rsidRPr="00EE1043" w:rsidRDefault="0048767B" w:rsidP="00487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EE1043">
        <w:rPr>
          <w:rFonts w:eastAsia="Times New Roman"/>
          <w:color w:val="000000" w:themeColor="text1"/>
          <w:u w:color="000000" w:themeColor="text1"/>
        </w:rPr>
        <w:t>SECTION</w:t>
      </w:r>
      <w:r w:rsidRPr="00EE1043">
        <w:rPr>
          <w:rFonts w:eastAsia="Times New Roman"/>
          <w:color w:val="000000" w:themeColor="text1"/>
          <w:u w:color="000000" w:themeColor="text1"/>
        </w:rPr>
        <w:tab/>
        <w:t>1.</w:t>
      </w:r>
      <w:r w:rsidRPr="00EE1043">
        <w:rPr>
          <w:rFonts w:eastAsia="Times New Roman"/>
          <w:color w:val="000000" w:themeColor="text1"/>
          <w:u w:color="000000" w:themeColor="text1"/>
        </w:rPr>
        <w:tab/>
        <w:t>Section 15</w:t>
      </w:r>
      <w:r w:rsidRPr="00EE1043">
        <w:rPr>
          <w:rFonts w:eastAsia="Times New Roman"/>
          <w:color w:val="000000" w:themeColor="text1"/>
          <w:u w:color="000000" w:themeColor="text1"/>
        </w:rPr>
        <w:noBreakHyphen/>
        <w:t>39</w:t>
      </w:r>
      <w:r w:rsidRPr="00EE1043">
        <w:rPr>
          <w:rFonts w:eastAsia="Times New Roman"/>
          <w:color w:val="000000" w:themeColor="text1"/>
          <w:u w:color="000000" w:themeColor="text1"/>
        </w:rPr>
        <w:noBreakHyphen/>
        <w:t>20 of the 1976 Code is amended to read:</w:t>
      </w:r>
    </w:p>
    <w:p w:rsidR="0048767B" w:rsidRPr="00EE1043" w:rsidRDefault="0048767B" w:rsidP="00487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48767B" w:rsidRPr="00EE1043" w:rsidRDefault="0048767B" w:rsidP="00487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EE1043">
        <w:rPr>
          <w:color w:val="000000" w:themeColor="text1"/>
          <w:u w:color="000000" w:themeColor="text1"/>
        </w:rPr>
        <w:tab/>
        <w:t>“Section 15</w:t>
      </w:r>
      <w:r w:rsidRPr="00EE1043">
        <w:rPr>
          <w:color w:val="000000" w:themeColor="text1"/>
          <w:u w:color="000000" w:themeColor="text1"/>
        </w:rPr>
        <w:noBreakHyphen/>
        <w:t>39</w:t>
      </w:r>
      <w:r w:rsidRPr="00EE1043">
        <w:rPr>
          <w:color w:val="000000" w:themeColor="text1"/>
          <w:u w:color="000000" w:themeColor="text1"/>
        </w:rPr>
        <w:noBreakHyphen/>
        <w:t>20.</w:t>
      </w:r>
      <w:r w:rsidRPr="00EE1043">
        <w:rPr>
          <w:color w:val="000000" w:themeColor="text1"/>
          <w:u w:color="000000" w:themeColor="text1"/>
        </w:rPr>
        <w:tab/>
        <w:t xml:space="preserve">Writs of execution for the enforcement of judgments shall conform to this </w:t>
      </w:r>
      <w:r w:rsidRPr="00EE1043">
        <w:rPr>
          <w:strike/>
          <w:color w:val="000000" w:themeColor="text1"/>
          <w:u w:color="000000" w:themeColor="text1"/>
        </w:rPr>
        <w:t>Title</w:t>
      </w:r>
      <w:r w:rsidRPr="00EE1043">
        <w:rPr>
          <w:color w:val="000000" w:themeColor="text1"/>
          <w:u w:color="000000" w:themeColor="text1"/>
        </w:rPr>
        <w:t xml:space="preserve"> </w:t>
      </w:r>
      <w:r w:rsidRPr="00EE1043">
        <w:rPr>
          <w:color w:val="000000" w:themeColor="text1"/>
          <w:u w:val="single" w:color="000000" w:themeColor="text1"/>
        </w:rPr>
        <w:t>title</w:t>
      </w:r>
      <w:r w:rsidRPr="00EE1043">
        <w:rPr>
          <w:color w:val="000000" w:themeColor="text1"/>
          <w:u w:color="000000" w:themeColor="text1"/>
        </w:rPr>
        <w:t xml:space="preserve">. The party in whose favor judgment has been given and, in case of his death, his personal representatives duly appointed may at any time within </w:t>
      </w:r>
      <w:r w:rsidRPr="00EE1043">
        <w:rPr>
          <w:strike/>
          <w:color w:val="000000" w:themeColor="text1"/>
          <w:u w:color="000000" w:themeColor="text1"/>
        </w:rPr>
        <w:t>ten years after the entry of judgment</w:t>
      </w:r>
      <w:r w:rsidRPr="00EE1043">
        <w:rPr>
          <w:color w:val="000000" w:themeColor="text1"/>
          <w:u w:color="000000" w:themeColor="text1"/>
        </w:rPr>
        <w:t xml:space="preserve"> </w:t>
      </w:r>
      <w:r w:rsidRPr="00EE1043">
        <w:rPr>
          <w:color w:val="000000" w:themeColor="text1"/>
          <w:u w:val="single" w:color="000000" w:themeColor="text1"/>
        </w:rPr>
        <w:t>the period provided in Section 15</w:t>
      </w:r>
      <w:r w:rsidRPr="00EE1043">
        <w:rPr>
          <w:color w:val="000000" w:themeColor="text1"/>
          <w:u w:val="single" w:color="000000" w:themeColor="text1"/>
        </w:rPr>
        <w:noBreakHyphen/>
        <w:t>39</w:t>
      </w:r>
      <w:r w:rsidRPr="00EE1043">
        <w:rPr>
          <w:color w:val="000000" w:themeColor="text1"/>
          <w:u w:val="single" w:color="000000" w:themeColor="text1"/>
        </w:rPr>
        <w:noBreakHyphen/>
        <w:t>30</w:t>
      </w:r>
      <w:r w:rsidRPr="00EE1043">
        <w:rPr>
          <w:color w:val="000000" w:themeColor="text1"/>
          <w:u w:color="000000" w:themeColor="text1"/>
        </w:rPr>
        <w:t xml:space="preserve"> proceed to enforce such judgment as prescribed by this </w:t>
      </w:r>
      <w:r w:rsidRPr="00EE1043">
        <w:rPr>
          <w:strike/>
          <w:color w:val="000000" w:themeColor="text1"/>
          <w:u w:color="000000" w:themeColor="text1"/>
        </w:rPr>
        <w:t>Title</w:t>
      </w:r>
      <w:r w:rsidRPr="00EE1043">
        <w:rPr>
          <w:color w:val="000000" w:themeColor="text1"/>
          <w:u w:color="000000" w:themeColor="text1"/>
        </w:rPr>
        <w:t xml:space="preserve"> </w:t>
      </w:r>
      <w:r w:rsidRPr="00EE1043">
        <w:rPr>
          <w:color w:val="000000" w:themeColor="text1"/>
          <w:u w:val="single" w:color="000000" w:themeColor="text1"/>
        </w:rPr>
        <w:t>title</w:t>
      </w:r>
      <w:r w:rsidRPr="00EE1043">
        <w:rPr>
          <w:color w:val="000000" w:themeColor="text1"/>
          <w:u w:color="000000" w:themeColor="text1"/>
        </w:rPr>
        <w:t>.”</w:t>
      </w:r>
    </w:p>
    <w:p w:rsidR="0048767B" w:rsidRPr="00EE1043" w:rsidRDefault="0048767B" w:rsidP="00487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48767B" w:rsidRPr="00EE1043" w:rsidRDefault="0048767B" w:rsidP="00487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EE1043">
        <w:rPr>
          <w:rFonts w:eastAsia="Times New Roman"/>
          <w:color w:val="000000" w:themeColor="text1"/>
          <w:u w:color="000000" w:themeColor="text1"/>
        </w:rPr>
        <w:t>SECTION</w:t>
      </w:r>
      <w:r w:rsidRPr="00EE1043">
        <w:rPr>
          <w:rFonts w:eastAsia="Times New Roman"/>
          <w:color w:val="000000" w:themeColor="text1"/>
          <w:u w:color="000000" w:themeColor="text1"/>
        </w:rPr>
        <w:tab/>
        <w:t>2.</w:t>
      </w:r>
      <w:r w:rsidRPr="00EE1043">
        <w:rPr>
          <w:rFonts w:eastAsia="Times New Roman"/>
          <w:color w:val="000000" w:themeColor="text1"/>
          <w:u w:color="000000" w:themeColor="text1"/>
        </w:rPr>
        <w:tab/>
        <w:t>Section 15</w:t>
      </w:r>
      <w:r w:rsidRPr="00EE1043">
        <w:rPr>
          <w:rFonts w:eastAsia="Times New Roman"/>
          <w:color w:val="000000" w:themeColor="text1"/>
          <w:u w:color="000000" w:themeColor="text1"/>
        </w:rPr>
        <w:noBreakHyphen/>
        <w:t>39</w:t>
      </w:r>
      <w:r w:rsidRPr="00EE1043">
        <w:rPr>
          <w:rFonts w:eastAsia="Times New Roman"/>
          <w:color w:val="000000" w:themeColor="text1"/>
          <w:u w:color="000000" w:themeColor="text1"/>
        </w:rPr>
        <w:noBreakHyphen/>
        <w:t>30 of the 1976 Code is amended to read:</w:t>
      </w:r>
    </w:p>
    <w:p w:rsidR="0048767B" w:rsidRPr="00EE1043" w:rsidRDefault="0048767B" w:rsidP="00487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48767B" w:rsidRPr="00EE1043" w:rsidRDefault="0048767B" w:rsidP="00487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E1043">
        <w:rPr>
          <w:rFonts w:eastAsia="Times New Roman"/>
          <w:color w:val="000000" w:themeColor="text1"/>
          <w:u w:color="000000" w:themeColor="text1"/>
        </w:rPr>
        <w:tab/>
        <w:t>“Section 15</w:t>
      </w:r>
      <w:r w:rsidRPr="00EE1043">
        <w:rPr>
          <w:rFonts w:eastAsia="Times New Roman"/>
          <w:color w:val="000000" w:themeColor="text1"/>
          <w:u w:color="000000" w:themeColor="text1"/>
        </w:rPr>
        <w:noBreakHyphen/>
        <w:t>39</w:t>
      </w:r>
      <w:r w:rsidRPr="00EE1043">
        <w:rPr>
          <w:rFonts w:eastAsia="Times New Roman"/>
          <w:color w:val="000000" w:themeColor="text1"/>
          <w:u w:color="000000" w:themeColor="text1"/>
        </w:rPr>
        <w:noBreakHyphen/>
        <w:t>30.</w:t>
      </w:r>
      <w:r w:rsidRPr="00EE1043">
        <w:rPr>
          <w:rFonts w:eastAsia="Times New Roman"/>
          <w:color w:val="000000" w:themeColor="text1"/>
          <w:u w:color="000000" w:themeColor="text1"/>
        </w:rPr>
        <w:tab/>
      </w:r>
      <w:r w:rsidRPr="00EE1043">
        <w:rPr>
          <w:rFonts w:eastAsia="Times New Roman"/>
          <w:color w:val="000000" w:themeColor="text1"/>
          <w:u w:val="single" w:color="000000" w:themeColor="text1"/>
        </w:rPr>
        <w:t>(A)</w:t>
      </w:r>
      <w:r w:rsidRPr="00EE1043">
        <w:rPr>
          <w:rFonts w:eastAsia="Times New Roman"/>
          <w:color w:val="000000" w:themeColor="text1"/>
          <w:u w:color="000000" w:themeColor="text1"/>
        </w:rPr>
        <w:tab/>
      </w:r>
      <w:r w:rsidRPr="00EE1043">
        <w:rPr>
          <w:color w:val="000000" w:themeColor="text1"/>
          <w:u w:color="000000" w:themeColor="text1"/>
        </w:rPr>
        <w:t>Executions may issue upon final judgments or decrees at any time within ten years from the date of the original entry thereof and shall have active energy during such period, without any renewal or renewals thereof, and this whether any return may or may not have been made during such period on such executions.</w:t>
      </w:r>
    </w:p>
    <w:p w:rsidR="0048767B" w:rsidRPr="00EE1043" w:rsidRDefault="0048767B" w:rsidP="00487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val="single" w:color="000000" w:themeColor="text1"/>
        </w:rPr>
      </w:pPr>
      <w:r w:rsidRPr="00EE1043">
        <w:rPr>
          <w:rFonts w:eastAsia="Calibri"/>
          <w:color w:val="000000" w:themeColor="text1"/>
          <w:u w:color="000000" w:themeColor="text1"/>
        </w:rPr>
        <w:tab/>
      </w:r>
      <w:r w:rsidRPr="00B9723C">
        <w:rPr>
          <w:rFonts w:eastAsia="Calibri"/>
          <w:u w:val="single" w:color="000000" w:themeColor="text1"/>
        </w:rPr>
        <w:t>(B)</w:t>
      </w:r>
      <w:r w:rsidRPr="00B9723C">
        <w:rPr>
          <w:rFonts w:eastAsia="Calibri"/>
          <w:u w:color="000000" w:themeColor="text1"/>
        </w:rPr>
        <w:tab/>
      </w:r>
      <w:r w:rsidRPr="00B9723C">
        <w:rPr>
          <w:rFonts w:eastAsia="Calibri"/>
          <w:u w:val="single" w:color="000000" w:themeColor="text1"/>
        </w:rPr>
        <w:t>Notwithstanding subsection (A), an execution may issue upon such final judgment or decree and shall have active energy beyond the ten-year period against real property or any other property that represents an ownership interest in said real property, including, but not limited to, a membership interest in a limited liability company or corporate stock, when:</w:t>
      </w:r>
    </w:p>
    <w:p w:rsidR="0048767B" w:rsidRPr="00EE1043" w:rsidRDefault="0048767B" w:rsidP="00487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val="single" w:color="000000" w:themeColor="text1"/>
        </w:rPr>
      </w:pPr>
      <w:r w:rsidRPr="00EE1043">
        <w:rPr>
          <w:rFonts w:eastAsia="Calibri"/>
          <w:color w:val="000000" w:themeColor="text1"/>
          <w:u w:color="000000" w:themeColor="text1"/>
        </w:rPr>
        <w:tab/>
      </w:r>
      <w:r w:rsidRPr="00EE1043">
        <w:rPr>
          <w:rFonts w:eastAsia="Calibri"/>
          <w:color w:val="000000" w:themeColor="text1"/>
          <w:u w:color="000000" w:themeColor="text1"/>
        </w:rPr>
        <w:tab/>
      </w:r>
      <w:r w:rsidRPr="00EE1043">
        <w:rPr>
          <w:rFonts w:eastAsia="Calibri"/>
          <w:color w:val="000000" w:themeColor="text1"/>
          <w:u w:val="single" w:color="000000" w:themeColor="text1"/>
        </w:rPr>
        <w:t>(1)</w:t>
      </w:r>
      <w:r w:rsidRPr="00EE1043">
        <w:rPr>
          <w:rFonts w:eastAsia="Calibri"/>
          <w:color w:val="000000" w:themeColor="text1"/>
          <w:u w:color="000000" w:themeColor="text1"/>
        </w:rPr>
        <w:tab/>
      </w:r>
      <w:r w:rsidRPr="00EE1043">
        <w:rPr>
          <w:rFonts w:eastAsia="Calibri"/>
          <w:color w:val="000000" w:themeColor="text1"/>
          <w:u w:val="single" w:color="000000" w:themeColor="text1"/>
        </w:rPr>
        <w:t>the judgment creditor has commenced proceedings pursuant to Section 15</w:t>
      </w:r>
      <w:r w:rsidRPr="00EE1043">
        <w:rPr>
          <w:rFonts w:eastAsia="Calibri"/>
          <w:color w:val="000000" w:themeColor="text1"/>
          <w:u w:val="single" w:color="000000" w:themeColor="text1"/>
        </w:rPr>
        <w:noBreakHyphen/>
        <w:t>39</w:t>
      </w:r>
      <w:r w:rsidRPr="00EE1043">
        <w:rPr>
          <w:rFonts w:eastAsia="Calibri"/>
          <w:color w:val="000000" w:themeColor="text1"/>
          <w:u w:val="single" w:color="000000" w:themeColor="text1"/>
        </w:rPr>
        <w:noBreakHyphen/>
        <w:t xml:space="preserve">310 with respect to such final judgment or decree, within ten years from the date of the original entry of the final judgment or decree; </w:t>
      </w:r>
    </w:p>
    <w:p w:rsidR="0048767B" w:rsidRPr="00EE1043" w:rsidRDefault="0048767B" w:rsidP="00487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val="single" w:color="000000" w:themeColor="text1"/>
        </w:rPr>
      </w:pPr>
      <w:r w:rsidRPr="00EE1043">
        <w:rPr>
          <w:rFonts w:eastAsia="Calibri"/>
          <w:color w:val="000000" w:themeColor="text1"/>
          <w:u w:color="000000" w:themeColor="text1"/>
        </w:rPr>
        <w:tab/>
      </w:r>
      <w:r w:rsidRPr="00EE1043">
        <w:rPr>
          <w:rFonts w:eastAsia="Calibri"/>
          <w:color w:val="000000" w:themeColor="text1"/>
          <w:u w:color="000000" w:themeColor="text1"/>
        </w:rPr>
        <w:tab/>
      </w:r>
      <w:r w:rsidRPr="00EE1043">
        <w:rPr>
          <w:rFonts w:eastAsia="Calibri"/>
          <w:color w:val="000000" w:themeColor="text1"/>
          <w:u w:val="single" w:color="000000" w:themeColor="text1"/>
        </w:rPr>
        <w:t>(2)</w:t>
      </w:r>
      <w:r w:rsidRPr="00EE1043">
        <w:rPr>
          <w:rFonts w:eastAsia="Calibri"/>
          <w:color w:val="000000" w:themeColor="text1"/>
          <w:u w:color="000000" w:themeColor="text1"/>
        </w:rPr>
        <w:tab/>
      </w:r>
      <w:r w:rsidRPr="00EE1043">
        <w:rPr>
          <w:rFonts w:eastAsia="Calibri"/>
          <w:color w:val="000000" w:themeColor="text1"/>
          <w:u w:val="single" w:color="000000" w:themeColor="text1"/>
        </w:rPr>
        <w:t>as a result of such proceedings, the judgment creditor has commenced an action to set aside a transfer of specific real property pursuant</w:t>
      </w:r>
      <w:r>
        <w:rPr>
          <w:rFonts w:eastAsia="Calibri"/>
          <w:color w:val="000000" w:themeColor="text1"/>
          <w:u w:val="single" w:color="000000" w:themeColor="text1"/>
        </w:rPr>
        <w:t xml:space="preserve"> to</w:t>
      </w:r>
      <w:r w:rsidRPr="00EE1043">
        <w:rPr>
          <w:rFonts w:eastAsia="Calibri"/>
          <w:color w:val="000000" w:themeColor="text1"/>
          <w:u w:val="single" w:color="000000" w:themeColor="text1"/>
        </w:rPr>
        <w:t xml:space="preserve"> Section 27</w:t>
      </w:r>
      <w:r w:rsidRPr="00EE1043">
        <w:rPr>
          <w:rFonts w:eastAsia="Calibri"/>
          <w:color w:val="000000" w:themeColor="text1"/>
          <w:u w:val="single" w:color="000000" w:themeColor="text1"/>
        </w:rPr>
        <w:noBreakHyphen/>
        <w:t>23</w:t>
      </w:r>
      <w:r w:rsidRPr="00EE1043">
        <w:rPr>
          <w:rFonts w:eastAsia="Calibri"/>
          <w:color w:val="000000" w:themeColor="text1"/>
          <w:u w:val="single" w:color="000000" w:themeColor="text1"/>
        </w:rPr>
        <w:noBreakHyphen/>
        <w:t>10 or Section 27</w:t>
      </w:r>
      <w:r w:rsidRPr="00EE1043">
        <w:rPr>
          <w:rFonts w:eastAsia="Calibri"/>
          <w:color w:val="000000" w:themeColor="text1"/>
          <w:u w:val="single" w:color="000000" w:themeColor="text1"/>
        </w:rPr>
        <w:noBreakHyphen/>
        <w:t>23</w:t>
      </w:r>
      <w:r w:rsidRPr="00EE1043">
        <w:rPr>
          <w:rFonts w:eastAsia="Calibri"/>
          <w:color w:val="000000" w:themeColor="text1"/>
          <w:u w:val="single" w:color="000000" w:themeColor="text1"/>
        </w:rPr>
        <w:noBreakHyphen/>
        <w:t>20; and</w:t>
      </w:r>
    </w:p>
    <w:p w:rsidR="0048767B" w:rsidRDefault="0048767B" w:rsidP="00487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color w:val="000000" w:themeColor="text1"/>
          <w:u w:color="000000" w:themeColor="text1"/>
        </w:rPr>
      </w:pPr>
      <w:r w:rsidRPr="00EE1043">
        <w:rPr>
          <w:rFonts w:eastAsia="Calibri"/>
          <w:color w:val="000000" w:themeColor="text1"/>
          <w:u w:color="000000" w:themeColor="text1"/>
        </w:rPr>
        <w:tab/>
      </w:r>
      <w:r w:rsidRPr="00EE1043">
        <w:rPr>
          <w:rFonts w:eastAsia="Calibri"/>
          <w:color w:val="000000" w:themeColor="text1"/>
          <w:u w:color="000000" w:themeColor="text1"/>
        </w:rPr>
        <w:tab/>
      </w:r>
      <w:r w:rsidRPr="00EE1043">
        <w:rPr>
          <w:rFonts w:eastAsia="Calibri"/>
          <w:color w:val="000000" w:themeColor="text1"/>
          <w:u w:val="single" w:color="000000" w:themeColor="text1"/>
        </w:rPr>
        <w:t>(3)</w:t>
      </w:r>
      <w:r w:rsidRPr="00EE1043">
        <w:rPr>
          <w:rFonts w:eastAsia="Calibri"/>
          <w:color w:val="000000" w:themeColor="text1"/>
          <w:u w:color="000000" w:themeColor="text1"/>
        </w:rPr>
        <w:tab/>
      </w:r>
      <w:r w:rsidRPr="00EE1043">
        <w:rPr>
          <w:rFonts w:eastAsia="Calibri"/>
          <w:color w:val="000000" w:themeColor="text1"/>
          <w:u w:val="single" w:color="000000" w:themeColor="text1"/>
        </w:rPr>
        <w:t>the judgment creditor obtains a final judgment in the action setting aside the transfer of the real property.</w:t>
      </w:r>
      <w:r w:rsidRPr="00EE1043">
        <w:rPr>
          <w:rFonts w:eastAsia="Calibri"/>
          <w:color w:val="000000" w:themeColor="text1"/>
          <w:u w:color="000000" w:themeColor="text1"/>
        </w:rPr>
        <w:t>”</w:t>
      </w:r>
    </w:p>
    <w:p w:rsidR="0048767B" w:rsidRDefault="0048767B" w:rsidP="00487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color w:val="000000" w:themeColor="text1"/>
          <w:u w:color="000000" w:themeColor="text1"/>
        </w:rPr>
      </w:pPr>
    </w:p>
    <w:p w:rsidR="0048767B" w:rsidRPr="00522CE0" w:rsidRDefault="0048767B" w:rsidP="00487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3.</w:t>
      </w:r>
      <w:r>
        <w:rPr>
          <w:rFonts w:eastAsia="Times New Roman"/>
        </w:rPr>
        <w:tab/>
        <w:t>This act takes effect upon approval by the Governor.</w:t>
      </w:r>
    </w:p>
    <w:p w:rsidR="008B3ECD" w:rsidRDefault="0048767B" w:rsidP="00487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ED162D" w:rsidRDefault="00ED162D" w:rsidP="00ED162D">
      <w:pPr>
        <w:suppressAutoHyphens/>
        <w:jc w:val="both"/>
        <w:rPr>
          <w:rFonts w:eastAsia="Times New Roman"/>
        </w:rPr>
      </w:pPr>
    </w:p>
    <w:sectPr w:rsidR="00ED162D" w:rsidSect="00ED162D">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673F78" w:rsidRDefault="00673F78" w:rsidP="00522CE0">
      <w:r>
        <w:separator/>
      </w:r>
    </w:p>
  </w:endnote>
  <w:endnote w:type="continuationSeparator" w:id="0">
    <w:p w:rsidR="00673F78" w:rsidRDefault="00673F78"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1FC0FE4D-C58E-4955-A375-26A3E373EED1}"/>
    <w:embedBold r:id="rId2" w:fontKey="{1D412A39-2207-4049-9E61-55808A612F0D}"/>
  </w:font>
  <w:font w:name="Calibri">
    <w:panose1 w:val="020F0502020204030204"/>
    <w:charset w:val="00"/>
    <w:family w:val="swiss"/>
    <w:pitch w:val="variable"/>
    <w:sig w:usb0="E4002EFF" w:usb1="C000247B" w:usb2="00000009" w:usb3="00000000" w:csb0="000001FF" w:csb1="00000000"/>
    <w:embedRegular r:id="rId3" w:fontKey="{BED333CF-85AF-47F6-A835-5D3710A5A355}"/>
    <w:embedBold r:id="rId4" w:fontKey="{506A8C66-D39E-47F4-B3E3-442D0C440FD7}"/>
  </w:font>
  <w:font w:name="Cambria">
    <w:panose1 w:val="02040503050406030204"/>
    <w:charset w:val="00"/>
    <w:family w:val="roman"/>
    <w:pitch w:val="variable"/>
    <w:sig w:usb0="E00006FF" w:usb1="420024FF" w:usb2="02000000" w:usb3="00000000" w:csb0="0000019F" w:csb1="00000000"/>
    <w:embedRegular r:id="rId5" w:fontKey="{5FAECE30-357D-45AB-9A92-DEA74C0591B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D162D" w:rsidRPr="0049151B" w:rsidRDefault="00ED162D" w:rsidP="0049151B">
    <w:pPr>
      <w:pStyle w:val="Footer"/>
      <w:tabs>
        <w:tab w:val="clear" w:pos="4680"/>
        <w:tab w:val="clear" w:pos="9360"/>
        <w:tab w:val="center" w:pos="2995"/>
      </w:tabs>
      <w:spacing w:before="120"/>
    </w:pPr>
    <w:r>
      <w:t>[473]</w:t>
    </w:r>
    <w:r>
      <w:tab/>
    </w:r>
    <w:r>
      <w:fldChar w:fldCharType="begin"/>
    </w:r>
    <w:r>
      <w:instrText xml:space="preserve"> PAGE  \* MERGEFORMAT </w:instrText>
    </w:r>
    <w:r>
      <w:fldChar w:fldCharType="separate"/>
    </w:r>
    <w:r w:rsidR="00131519">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673F78" w:rsidRDefault="00673F78" w:rsidP="00522CE0">
      <w:r>
        <w:separator/>
      </w:r>
    </w:p>
  </w:footnote>
  <w:footnote w:type="continuationSeparator" w:id="0">
    <w:p w:rsidR="00673F78" w:rsidRDefault="00673F78"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lipname" w:val="JUD0021.SW"/>
    <w:docVar w:name="CoverAttorneyInitials" w:val="SW"/>
    <w:docVar w:name="CoverAttorneyLastName" w:val="Wilkinson"/>
    <w:docVar w:name="CoverBillType" w:val="b"/>
    <w:docVar w:name="DraftFileName" w:val="JUD0021.SW.DOCX"/>
    <w:docVar w:name="DraftStenoName" w:val="Henry"/>
    <w:docVar w:name="dvBillNumber" w:val="473"/>
    <w:docVar w:name="dvBillNumberPrefix" w:val="S. "/>
    <w:docVar w:name="dvOriginalBody" w:val="Senate"/>
    <w:docVar w:name="fulldraftpath" w:val="L:\S-JUD\BILLS\Rankin\JUD0021.SW.DOCX"/>
    <w:docVar w:name="NameofBody" w:val="S"/>
    <w:docVar w:name="SenatorFolderName" w:val="Rankin"/>
    <w:docVar w:name="VGROUP2" w:val="S-JUD"/>
  </w:docVars>
  <w:rsids>
    <w:rsidRoot w:val="00673F78"/>
    <w:rsid w:val="000141EB"/>
    <w:rsid w:val="00042AC1"/>
    <w:rsid w:val="00046516"/>
    <w:rsid w:val="000A4D08"/>
    <w:rsid w:val="000A6988"/>
    <w:rsid w:val="000A7362"/>
    <w:rsid w:val="000B0720"/>
    <w:rsid w:val="000B5EAF"/>
    <w:rsid w:val="000E473B"/>
    <w:rsid w:val="000F002B"/>
    <w:rsid w:val="00107C3D"/>
    <w:rsid w:val="00126995"/>
    <w:rsid w:val="00131519"/>
    <w:rsid w:val="0016543B"/>
    <w:rsid w:val="00170561"/>
    <w:rsid w:val="00186AC9"/>
    <w:rsid w:val="00190F47"/>
    <w:rsid w:val="00197DF1"/>
    <w:rsid w:val="001B3DD9"/>
    <w:rsid w:val="001C23C9"/>
    <w:rsid w:val="001D3BAC"/>
    <w:rsid w:val="00206D3D"/>
    <w:rsid w:val="0021330E"/>
    <w:rsid w:val="00221A5C"/>
    <w:rsid w:val="0024519E"/>
    <w:rsid w:val="00245C4E"/>
    <w:rsid w:val="002C5896"/>
    <w:rsid w:val="002E203D"/>
    <w:rsid w:val="002E7B2B"/>
    <w:rsid w:val="00307C2B"/>
    <w:rsid w:val="0031409E"/>
    <w:rsid w:val="0032109A"/>
    <w:rsid w:val="00333DF1"/>
    <w:rsid w:val="0033541C"/>
    <w:rsid w:val="00364389"/>
    <w:rsid w:val="003D6A5D"/>
    <w:rsid w:val="003D6E2B"/>
    <w:rsid w:val="003E7597"/>
    <w:rsid w:val="00412C9E"/>
    <w:rsid w:val="0042257B"/>
    <w:rsid w:val="00424119"/>
    <w:rsid w:val="00450668"/>
    <w:rsid w:val="00452CD7"/>
    <w:rsid w:val="00477696"/>
    <w:rsid w:val="0048767B"/>
    <w:rsid w:val="0049151B"/>
    <w:rsid w:val="004952FA"/>
    <w:rsid w:val="004A05F7"/>
    <w:rsid w:val="004A592F"/>
    <w:rsid w:val="004B6A22"/>
    <w:rsid w:val="004C2918"/>
    <w:rsid w:val="004D168C"/>
    <w:rsid w:val="004D6923"/>
    <w:rsid w:val="004D7F37"/>
    <w:rsid w:val="0051584C"/>
    <w:rsid w:val="00520D79"/>
    <w:rsid w:val="00522CE0"/>
    <w:rsid w:val="00525DCD"/>
    <w:rsid w:val="00541FF6"/>
    <w:rsid w:val="0054526E"/>
    <w:rsid w:val="00565148"/>
    <w:rsid w:val="00581497"/>
    <w:rsid w:val="00586B30"/>
    <w:rsid w:val="0058748C"/>
    <w:rsid w:val="00593361"/>
    <w:rsid w:val="005A5017"/>
    <w:rsid w:val="005A648C"/>
    <w:rsid w:val="005F15E4"/>
    <w:rsid w:val="00600221"/>
    <w:rsid w:val="00606D23"/>
    <w:rsid w:val="00617BF0"/>
    <w:rsid w:val="00641A16"/>
    <w:rsid w:val="006431BA"/>
    <w:rsid w:val="00673F78"/>
    <w:rsid w:val="006B4B3C"/>
    <w:rsid w:val="006C74EA"/>
    <w:rsid w:val="00720D40"/>
    <w:rsid w:val="0073026D"/>
    <w:rsid w:val="007311B4"/>
    <w:rsid w:val="007318D4"/>
    <w:rsid w:val="00746551"/>
    <w:rsid w:val="00760D0A"/>
    <w:rsid w:val="0076552B"/>
    <w:rsid w:val="00765784"/>
    <w:rsid w:val="00785E76"/>
    <w:rsid w:val="007A4390"/>
    <w:rsid w:val="007C65B0"/>
    <w:rsid w:val="007E3B8F"/>
    <w:rsid w:val="007E5CB7"/>
    <w:rsid w:val="00814EED"/>
    <w:rsid w:val="008314D2"/>
    <w:rsid w:val="00834860"/>
    <w:rsid w:val="00866858"/>
    <w:rsid w:val="008804AE"/>
    <w:rsid w:val="00894939"/>
    <w:rsid w:val="008B2F42"/>
    <w:rsid w:val="008B3ECD"/>
    <w:rsid w:val="008E185F"/>
    <w:rsid w:val="008E5870"/>
    <w:rsid w:val="008F023B"/>
    <w:rsid w:val="008F7524"/>
    <w:rsid w:val="00904E16"/>
    <w:rsid w:val="00927C62"/>
    <w:rsid w:val="00931A96"/>
    <w:rsid w:val="00983951"/>
    <w:rsid w:val="00984124"/>
    <w:rsid w:val="00984640"/>
    <w:rsid w:val="00995C37"/>
    <w:rsid w:val="009A7B72"/>
    <w:rsid w:val="009C118A"/>
    <w:rsid w:val="009C2F97"/>
    <w:rsid w:val="009C6FD3"/>
    <w:rsid w:val="00A02011"/>
    <w:rsid w:val="00A1612A"/>
    <w:rsid w:val="00A35165"/>
    <w:rsid w:val="00A4011E"/>
    <w:rsid w:val="00A41565"/>
    <w:rsid w:val="00A86015"/>
    <w:rsid w:val="00A879A7"/>
    <w:rsid w:val="00AE59C8"/>
    <w:rsid w:val="00AF088A"/>
    <w:rsid w:val="00B030B6"/>
    <w:rsid w:val="00B10098"/>
    <w:rsid w:val="00B10E10"/>
    <w:rsid w:val="00B35389"/>
    <w:rsid w:val="00B43327"/>
    <w:rsid w:val="00B450FF"/>
    <w:rsid w:val="00B47304"/>
    <w:rsid w:val="00B50A88"/>
    <w:rsid w:val="00B66C95"/>
    <w:rsid w:val="00B67A46"/>
    <w:rsid w:val="00B945C5"/>
    <w:rsid w:val="00BA20EA"/>
    <w:rsid w:val="00BB754E"/>
    <w:rsid w:val="00BC0A56"/>
    <w:rsid w:val="00BD3C7E"/>
    <w:rsid w:val="00C23348"/>
    <w:rsid w:val="00C6454A"/>
    <w:rsid w:val="00C74052"/>
    <w:rsid w:val="00CB187A"/>
    <w:rsid w:val="00CD1843"/>
    <w:rsid w:val="00CD7C71"/>
    <w:rsid w:val="00D05246"/>
    <w:rsid w:val="00D1088B"/>
    <w:rsid w:val="00D123BB"/>
    <w:rsid w:val="00D12EAE"/>
    <w:rsid w:val="00D139E6"/>
    <w:rsid w:val="00D156D2"/>
    <w:rsid w:val="00D76415"/>
    <w:rsid w:val="00D77EC0"/>
    <w:rsid w:val="00D86943"/>
    <w:rsid w:val="00DA47B9"/>
    <w:rsid w:val="00E550FB"/>
    <w:rsid w:val="00E677A1"/>
    <w:rsid w:val="00E91E2F"/>
    <w:rsid w:val="00EA3546"/>
    <w:rsid w:val="00EB1AAC"/>
    <w:rsid w:val="00EB3D63"/>
    <w:rsid w:val="00EB47AE"/>
    <w:rsid w:val="00EC34E1"/>
    <w:rsid w:val="00ED0AE1"/>
    <w:rsid w:val="00ED162D"/>
    <w:rsid w:val="00EE696A"/>
    <w:rsid w:val="00F00878"/>
    <w:rsid w:val="00F0234A"/>
    <w:rsid w:val="00F52959"/>
    <w:rsid w:val="00F532D4"/>
    <w:rsid w:val="00F55884"/>
    <w:rsid w:val="00F63E98"/>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5:docId w15:val="{7CA76F46-809A-4D10-8E09-5102A92A8D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Hyperlink">
    <w:name w:val="Hyperlink"/>
    <w:basedOn w:val="DefaultParagraphFont"/>
    <w:uiPriority w:val="99"/>
    <w:unhideWhenUsed/>
    <w:rsid w:val="00ED162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73&amp;session=124&amp;summary=B" TargetMode="External"/><Relationship Id="rId3" Type="http://schemas.openxmlformats.org/officeDocument/2006/relationships/webSettings" Target="webSettings.xml"/><Relationship Id="rId7" Type="http://schemas.openxmlformats.org/officeDocument/2006/relationships/hyperlink" Target="file:///h:\sj\20210114.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210114.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21-22\473_2021011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500</Words>
  <Characters>2851</Characters>
  <Application>Microsoft Office Word</Application>
  <DocSecurity>0</DocSecurity>
  <Lines>23</Lines>
  <Paragraphs>6</Paragraphs>
  <ScaleCrop>false</ScaleCrop>
  <Company> </Company>
  <LinksUpToDate>false</LinksUpToDate>
  <CharactersWithSpaces>3345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473: Subject not yet available - South Carolina Legislature Online</dc:title>
  <dc:subject/>
  <dc:creator>Sharon Wilkinson</dc:creator>
  <cp:keywords/>
  <dc:description/>
  <cp:lastModifiedBy>Sade Wilson</cp:lastModifiedBy>
  <cp:revision>2</cp:revision>
  <dcterms:created xsi:type="dcterms:W3CDTF">2022-04-07T14:12:00Z</dcterms:created>
  <dcterms:modified xsi:type="dcterms:W3CDTF">2022-04-07T14:12:00Z</dcterms:modified>
</cp:coreProperties>
</file>