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2176C" w:rsidRDefault="00E2176C" w:rsidP="00E2176C">
      <w:pPr>
        <w:widowControl w:val="0"/>
        <w:jc w:val="center"/>
      </w:pPr>
      <w:r w:rsidRPr="00E2176C">
        <w:rPr>
          <w:b/>
        </w:rPr>
        <w:t>South Carolina General Assembly</w:t>
      </w:r>
    </w:p>
    <w:p w:rsidR="00E2176C" w:rsidRDefault="00E2176C" w:rsidP="00E2176C">
      <w:pPr>
        <w:widowControl w:val="0"/>
        <w:jc w:val="center"/>
      </w:pPr>
      <w:r>
        <w:t>124th Session, 2021-2022</w:t>
      </w:r>
    </w:p>
    <w:p w:rsidR="00E2176C" w:rsidRDefault="00E2176C" w:rsidP="00E2176C">
      <w:pPr>
        <w:widowControl w:val="0"/>
        <w:jc w:val="left"/>
      </w:pPr>
    </w:p>
    <w:p w:rsidR="00E2176C" w:rsidRDefault="00E2176C" w:rsidP="00E2176C">
      <w:pPr>
        <w:widowControl w:val="0"/>
        <w:jc w:val="left"/>
        <w:rPr>
          <w:b/>
        </w:rPr>
      </w:pPr>
      <w:r w:rsidRPr="00E2176C">
        <w:rPr>
          <w:b/>
        </w:rPr>
        <w:t>H. 5223</w:t>
      </w:r>
    </w:p>
    <w:p w:rsidR="00E2176C" w:rsidRDefault="00E2176C" w:rsidP="00E2176C">
      <w:pPr>
        <w:widowControl w:val="0"/>
        <w:jc w:val="left"/>
        <w:rPr>
          <w:b/>
        </w:rPr>
      </w:pPr>
    </w:p>
    <w:p w:rsidR="00E2176C" w:rsidRDefault="00E2176C" w:rsidP="00E2176C">
      <w:pPr>
        <w:widowControl w:val="0"/>
        <w:jc w:val="left"/>
      </w:pPr>
      <w:r w:rsidRPr="00E2176C">
        <w:rPr>
          <w:b/>
        </w:rPr>
        <w:t>STATUS INFORMATION</w:t>
      </w:r>
    </w:p>
    <w:p w:rsidR="00E2176C" w:rsidRDefault="00E2176C" w:rsidP="00E2176C">
      <w:pPr>
        <w:widowControl w:val="0"/>
        <w:jc w:val="left"/>
      </w:pPr>
    </w:p>
    <w:p w:rsidR="00E2176C" w:rsidRDefault="00E2176C" w:rsidP="00E2176C">
      <w:pPr>
        <w:widowControl w:val="0"/>
        <w:jc w:val="left"/>
      </w:pPr>
      <w:r>
        <w:t>General Bill</w:t>
      </w:r>
    </w:p>
    <w:p w:rsidR="00E2176C" w:rsidRDefault="00E2176C" w:rsidP="00E2176C">
      <w:pPr>
        <w:widowControl w:val="0"/>
        <w:jc w:val="left"/>
      </w:pPr>
      <w:r>
        <w:t>Sponsors: Rep. Rutherford</w:t>
      </w:r>
    </w:p>
    <w:p w:rsidR="00E2176C" w:rsidRDefault="00E2176C" w:rsidP="00E2176C">
      <w:pPr>
        <w:widowControl w:val="0"/>
        <w:jc w:val="left"/>
      </w:pPr>
      <w:r>
        <w:t>Document Path: l:\council\bills\bh\7611ahb22.docx</w:t>
      </w:r>
    </w:p>
    <w:p w:rsidR="00E2176C" w:rsidRDefault="00E2176C" w:rsidP="00E2176C">
      <w:pPr>
        <w:widowControl w:val="0"/>
        <w:jc w:val="left"/>
      </w:pPr>
    </w:p>
    <w:p w:rsidR="00E2176C" w:rsidRDefault="00E2176C" w:rsidP="00E2176C">
      <w:pPr>
        <w:widowControl w:val="0"/>
        <w:jc w:val="left"/>
      </w:pPr>
      <w:r>
        <w:t>Introduced in the House on April 6, 2022</w:t>
      </w:r>
    </w:p>
    <w:p w:rsidR="00E2176C" w:rsidRDefault="00E2176C" w:rsidP="00E2176C">
      <w:pPr>
        <w:widowControl w:val="0"/>
        <w:jc w:val="left"/>
      </w:pPr>
      <w:r>
        <w:t xml:space="preserve">Currently residing in the House Committee on </w:t>
      </w:r>
      <w:r w:rsidRPr="00E2176C">
        <w:rPr>
          <w:b/>
        </w:rPr>
        <w:t>Judiciary</w:t>
      </w:r>
    </w:p>
    <w:p w:rsidR="00E2176C" w:rsidRDefault="00E2176C" w:rsidP="00E2176C">
      <w:pPr>
        <w:widowControl w:val="0"/>
        <w:jc w:val="left"/>
      </w:pPr>
    </w:p>
    <w:p w:rsidR="00E2176C" w:rsidRDefault="00E2176C" w:rsidP="00E2176C">
      <w:pPr>
        <w:widowControl w:val="0"/>
        <w:jc w:val="left"/>
      </w:pPr>
      <w:r>
        <w:t>Summary: Unlawful Carrying of Handguns</w:t>
      </w:r>
    </w:p>
    <w:p w:rsidR="00E2176C" w:rsidRDefault="00E2176C" w:rsidP="00E2176C">
      <w:pPr>
        <w:widowControl w:val="0"/>
        <w:jc w:val="left"/>
      </w:pPr>
    </w:p>
    <w:p w:rsidR="00E2176C" w:rsidRDefault="00E2176C" w:rsidP="00E2176C">
      <w:pPr>
        <w:widowControl w:val="0"/>
        <w:jc w:val="left"/>
      </w:pPr>
    </w:p>
    <w:p w:rsidR="00E2176C" w:rsidRDefault="00E2176C" w:rsidP="00E217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176C">
        <w:rPr>
          <w:b/>
        </w:rPr>
        <w:t>HISTORY OF LEGISLATIVE ACTIONS</w:t>
      </w:r>
    </w:p>
    <w:p w:rsidR="00E2176C" w:rsidRDefault="00E2176C" w:rsidP="00E217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2176C" w:rsidRPr="00E2176C" w:rsidRDefault="00E2176C" w:rsidP="00E217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176C">
        <w:rPr>
          <w:u w:val="single"/>
        </w:rPr>
        <w:tab/>
        <w:t>Date</w:t>
      </w:r>
      <w:r w:rsidRPr="00E2176C">
        <w:rPr>
          <w:u w:val="single"/>
        </w:rPr>
        <w:tab/>
        <w:t>Body</w:t>
      </w:r>
      <w:r w:rsidRPr="00E2176C">
        <w:rPr>
          <w:u w:val="single"/>
        </w:rPr>
        <w:tab/>
        <w:t>Action Description with journal page number</w:t>
      </w:r>
      <w:r w:rsidRPr="00E2176C">
        <w:rPr>
          <w:u w:val="single"/>
        </w:rPr>
        <w:tab/>
      </w:r>
    </w:p>
    <w:p w:rsidR="000C6D73" w:rsidRDefault="000C6D73" w:rsidP="000C6D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4/6/2022</w:t>
      </w:r>
      <w:r>
        <w:tab/>
        <w:t>House</w:t>
      </w:r>
      <w:r>
        <w:tab/>
        <w:t>Introduced and read first time (</w:t>
      </w:r>
      <w:hyperlink r:id="rId7" w:history="1">
        <w:r w:rsidRPr="00F77A3D">
          <w:rPr>
            <w:rStyle w:val="Hyperlink"/>
          </w:rPr>
          <w:t>House Journal</w:t>
        </w:r>
        <w:r w:rsidRPr="00F77A3D">
          <w:rPr>
            <w:rStyle w:val="Hyperlink"/>
          </w:rPr>
          <w:noBreakHyphen/>
          <w:t>page 14</w:t>
        </w:r>
      </w:hyperlink>
      <w:r>
        <w:t>)</w:t>
      </w:r>
    </w:p>
    <w:p w:rsidR="000C6D73" w:rsidRDefault="000C6D73" w:rsidP="000C6D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4/6/2022</w:t>
      </w:r>
      <w:r>
        <w:tab/>
        <w:t>House</w:t>
      </w:r>
      <w:r>
        <w:tab/>
        <w:t xml:space="preserve">Referred to Committee on </w:t>
      </w:r>
      <w:r w:rsidRPr="00F77A3D">
        <w:rPr>
          <w:b/>
        </w:rPr>
        <w:t>Judiciary</w:t>
      </w:r>
      <w:r>
        <w:t xml:space="preserve"> (</w:t>
      </w:r>
      <w:hyperlink r:id="rId8" w:history="1">
        <w:r w:rsidRPr="00F77A3D">
          <w:rPr>
            <w:rStyle w:val="Hyperlink"/>
          </w:rPr>
          <w:t>House Journal</w:t>
        </w:r>
        <w:r w:rsidRPr="00F77A3D">
          <w:rPr>
            <w:rStyle w:val="Hyperlink"/>
          </w:rPr>
          <w:noBreakHyphen/>
          <w:t>page 14</w:t>
        </w:r>
      </w:hyperlink>
      <w:r>
        <w:t>)</w:t>
      </w:r>
    </w:p>
    <w:p w:rsidR="000C6D73" w:rsidRDefault="000C6D73" w:rsidP="000C6D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2176C" w:rsidRDefault="00E2176C" w:rsidP="00E217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E2176C">
          <w:rPr>
            <w:rStyle w:val="Hyperlink"/>
          </w:rPr>
          <w:t>legislative information</w:t>
        </w:r>
      </w:hyperlink>
      <w:r>
        <w:t xml:space="preserve"> at the website</w:t>
      </w:r>
    </w:p>
    <w:p w:rsidR="00E2176C" w:rsidRDefault="00E2176C" w:rsidP="00E217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176C" w:rsidRPr="00E2176C" w:rsidRDefault="00E2176C" w:rsidP="00E217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176C" w:rsidRDefault="00E2176C" w:rsidP="00E2176C">
      <w:pPr>
        <w:widowControl w:val="0"/>
        <w:jc w:val="left"/>
      </w:pPr>
      <w:r w:rsidRPr="00E2176C">
        <w:rPr>
          <w:b/>
        </w:rPr>
        <w:t>VERSIONS OF THIS BILL</w:t>
      </w:r>
    </w:p>
    <w:p w:rsidR="00E2176C" w:rsidRDefault="00E2176C" w:rsidP="00E2176C">
      <w:pPr>
        <w:widowControl w:val="0"/>
        <w:jc w:val="left"/>
      </w:pPr>
    </w:p>
    <w:p w:rsidR="00E2176C" w:rsidRDefault="00B53087" w:rsidP="00E2176C">
      <w:pPr>
        <w:widowControl w:val="0"/>
        <w:jc w:val="left"/>
      </w:pPr>
      <w:hyperlink r:id="rId10" w:history="1">
        <w:r w:rsidR="00E2176C">
          <w:rPr>
            <w:rStyle w:val="Hyperlink"/>
          </w:rPr>
          <w:t>4/6/2022</w:t>
        </w:r>
      </w:hyperlink>
    </w:p>
    <w:p w:rsidR="00E2176C" w:rsidRDefault="00E2176C" w:rsidP="00E2176C"/>
    <w:p w:rsidR="00E2176C" w:rsidRDefault="00E2176C" w:rsidP="00E2176C">
      <w:pPr>
        <w:sectPr w:rsidR="00E2176C" w:rsidSect="00E2176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70CF6" w:rsidRDefault="00470CF6" w:rsidP="00A30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0582" w:rsidRDefault="00A30582" w:rsidP="00A30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0582" w:rsidRDefault="00A30582" w:rsidP="00A30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0582" w:rsidRDefault="00A30582" w:rsidP="00A30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0582" w:rsidRDefault="00A30582" w:rsidP="00A30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0582" w:rsidRDefault="00A30582" w:rsidP="00A30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0582" w:rsidRDefault="00A30582" w:rsidP="00A30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0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D31B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6932" w:rsidRPr="003B7DC2" w:rsidRDefault="002F6932" w:rsidP="002F6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3B7DC2">
        <w:rPr>
          <w:color w:val="000000" w:themeColor="text1"/>
          <w:u w:color="000000" w:themeColor="text1"/>
        </w:rPr>
        <w:t>TO AMEND SECTION 16</w:t>
      </w:r>
      <w:r w:rsidRPr="003B7DC2">
        <w:rPr>
          <w:color w:val="000000" w:themeColor="text1"/>
          <w:u w:color="000000" w:themeColor="text1"/>
        </w:rPr>
        <w:noBreakHyphen/>
        <w:t>23</w:t>
      </w:r>
      <w:r w:rsidRPr="003B7DC2">
        <w:rPr>
          <w:color w:val="000000" w:themeColor="text1"/>
          <w:u w:color="000000" w:themeColor="text1"/>
        </w:rPr>
        <w:noBreakHyphen/>
        <w:t xml:space="preserve">20, AS AMENDED, CODE OF LAWS OF SOUTH CAROLINA, 1976, RELATING TO THE UNLAWFUL CARRYING OF HANDGUNS AND EXCEPTIONS, SO AS TO PROHIBIT CUSTODIAL ARREST </w:t>
      </w:r>
      <w:r w:rsidR="00552E35">
        <w:rPr>
          <w:color w:val="000000" w:themeColor="text1"/>
          <w:u w:color="000000" w:themeColor="text1"/>
        </w:rPr>
        <w:t xml:space="preserve">OF A PERSON IN POSSESSION OF A LAWFUL HANDGUN AND PROHIBIT </w:t>
      </w:r>
      <w:r w:rsidRPr="003B7DC2">
        <w:rPr>
          <w:color w:val="000000" w:themeColor="text1"/>
          <w:u w:color="000000" w:themeColor="text1"/>
        </w:rPr>
        <w:t xml:space="preserve">CONFISCATION OF A </w:t>
      </w:r>
      <w:r w:rsidR="00552E35">
        <w:rPr>
          <w:color w:val="000000" w:themeColor="text1"/>
          <w:u w:color="000000" w:themeColor="text1"/>
        </w:rPr>
        <w:t xml:space="preserve">LAWFUL </w:t>
      </w:r>
      <w:r w:rsidRPr="003B7DC2">
        <w:rPr>
          <w:color w:val="000000" w:themeColor="text1"/>
          <w:u w:color="000000" w:themeColor="text1"/>
        </w:rPr>
        <w:t>HANDGUN UNDER CERTAIN CIRCUMSTANCES.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D31B7" w:rsidRDefault="00FD31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D31B7" w:rsidRDefault="00FD31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6932" w:rsidRPr="003B7DC2" w:rsidRDefault="002F6932" w:rsidP="002F6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7DC2">
        <w:rPr>
          <w:color w:val="000000" w:themeColor="text1"/>
          <w:u w:color="000000" w:themeColor="text1"/>
        </w:rPr>
        <w:t>SECTION</w:t>
      </w:r>
      <w:r w:rsidRPr="003B7DC2">
        <w:rPr>
          <w:color w:val="000000" w:themeColor="text1"/>
          <w:u w:color="000000" w:themeColor="text1"/>
        </w:rPr>
        <w:tab/>
        <w:t>1.</w:t>
      </w:r>
      <w:r w:rsidRPr="003B7DC2">
        <w:rPr>
          <w:color w:val="000000" w:themeColor="text1"/>
          <w:u w:color="000000" w:themeColor="text1"/>
        </w:rPr>
        <w:tab/>
        <w:t>Section 16</w:t>
      </w:r>
      <w:r w:rsidRPr="003B7DC2">
        <w:rPr>
          <w:color w:val="000000" w:themeColor="text1"/>
          <w:u w:color="000000" w:themeColor="text1"/>
        </w:rPr>
        <w:noBreakHyphen/>
        <w:t>23</w:t>
      </w:r>
      <w:r w:rsidRPr="003B7DC2">
        <w:rPr>
          <w:color w:val="000000" w:themeColor="text1"/>
          <w:u w:color="000000" w:themeColor="text1"/>
        </w:rPr>
        <w:noBreakHyphen/>
        <w:t>20(9) of the 1976 Code, as last amended by Act 66 of 2021, is further amended to read:</w:t>
      </w:r>
    </w:p>
    <w:p w:rsidR="002F6932" w:rsidRPr="003B7DC2" w:rsidRDefault="002F6932" w:rsidP="002F6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6932" w:rsidRPr="003B7DC2" w:rsidRDefault="002F6932" w:rsidP="002F6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7DC2">
        <w:rPr>
          <w:color w:val="000000" w:themeColor="text1"/>
          <w:u w:color="000000" w:themeColor="text1"/>
        </w:rPr>
        <w:tab/>
        <w:t>“</w:t>
      </w:r>
      <w:r w:rsidR="00CE700F">
        <w:rPr>
          <w:color w:val="000000" w:themeColor="text1"/>
          <w:u w:color="000000" w:themeColor="text1"/>
        </w:rPr>
        <w:t>(9)</w:t>
      </w:r>
      <w:r w:rsidR="00CE700F">
        <w:rPr>
          <w:color w:val="000000" w:themeColor="text1"/>
          <w:u w:color="000000" w:themeColor="text1"/>
        </w:rPr>
        <w:tab/>
      </w:r>
      <w:r w:rsidRPr="003B7DC2">
        <w:rPr>
          <w:color w:val="000000" w:themeColor="text1"/>
          <w:u w:color="000000" w:themeColor="text1"/>
        </w:rPr>
        <w:t>a person in a vehicle if the handgun is:</w:t>
      </w:r>
    </w:p>
    <w:p w:rsidR="002F6932" w:rsidRPr="003B7DC2" w:rsidRDefault="002F6932" w:rsidP="002F6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7DC2">
        <w:rPr>
          <w:color w:val="000000" w:themeColor="text1"/>
          <w:u w:color="000000" w:themeColor="text1"/>
        </w:rPr>
        <w:tab/>
      </w:r>
      <w:r w:rsidRPr="003B7DC2">
        <w:rPr>
          <w:color w:val="000000" w:themeColor="text1"/>
          <w:u w:color="000000" w:themeColor="text1"/>
        </w:rPr>
        <w:tab/>
        <w:t>(a)</w:t>
      </w:r>
      <w:r w:rsidR="00CE700F">
        <w:rPr>
          <w:color w:val="000000" w:themeColor="text1"/>
          <w:u w:color="000000" w:themeColor="text1"/>
        </w:rPr>
        <w:tab/>
      </w:r>
      <w:r w:rsidRPr="003B7DC2">
        <w:rPr>
          <w:color w:val="000000" w:themeColor="text1"/>
          <w:u w:color="000000" w:themeColor="text1"/>
        </w:rPr>
        <w:t>secured in a closed glove compartment, closed console, closed trunk, or in a closed container secured by an integral fastener and transported in the luggage compartment of the vehicle; however, this item is not violated if the glove compartment, console, or trunk is opened in the presence of a law enforcement officer for the sole purpose of retrieving a driver’s license, registration, or proof of insurance. If the person has been issued a concealed weapon permit pursuant to Article 4, Chapter 31, Title 23, then the person also may secure his weapon under a seat in a vehicle, or in any open or closed storage compartment within the vehicle’s passenger compartment</w:t>
      </w:r>
      <w:r w:rsidR="00CE700F">
        <w:rPr>
          <w:color w:val="000000" w:themeColor="text1"/>
          <w:u w:val="single" w:color="000000" w:themeColor="text1"/>
        </w:rPr>
        <w:t xml:space="preserve">. </w:t>
      </w:r>
      <w:r w:rsidRPr="003B7DC2">
        <w:rPr>
          <w:color w:val="000000" w:themeColor="text1"/>
          <w:u w:val="single" w:color="000000" w:themeColor="text1"/>
        </w:rPr>
        <w:t>A violation of this subitem when a handgun is found to be located underneath a vehicle’s seat do</w:t>
      </w:r>
      <w:r w:rsidR="00DF2FB5">
        <w:rPr>
          <w:color w:val="000000" w:themeColor="text1"/>
          <w:u w:val="single" w:color="000000" w:themeColor="text1"/>
        </w:rPr>
        <w:t xml:space="preserve">es not subject the lawful owner, driver, or any passenger in that vehicle containing the </w:t>
      </w:r>
      <w:r w:rsidRPr="003B7DC2">
        <w:rPr>
          <w:color w:val="000000" w:themeColor="text1"/>
          <w:u w:val="single" w:color="000000" w:themeColor="text1"/>
        </w:rPr>
        <w:t xml:space="preserve">handgun </w:t>
      </w:r>
      <w:r w:rsidR="00DF2FB5">
        <w:rPr>
          <w:color w:val="000000" w:themeColor="text1"/>
          <w:u w:val="single" w:color="000000" w:themeColor="text1"/>
        </w:rPr>
        <w:t xml:space="preserve">that is not stolen or otherwise unlawful </w:t>
      </w:r>
      <w:r w:rsidRPr="003B7DC2">
        <w:rPr>
          <w:color w:val="000000" w:themeColor="text1"/>
          <w:u w:val="single" w:color="000000" w:themeColor="text1"/>
        </w:rPr>
        <w:t>to custodial arrest o</w:t>
      </w:r>
      <w:r w:rsidR="00CE700F">
        <w:rPr>
          <w:color w:val="000000" w:themeColor="text1"/>
          <w:u w:val="single" w:color="000000" w:themeColor="text1"/>
        </w:rPr>
        <w:t xml:space="preserve">r confiscation of the handgun. </w:t>
      </w:r>
      <w:r w:rsidRPr="003B7DC2">
        <w:rPr>
          <w:color w:val="000000" w:themeColor="text1"/>
          <w:u w:val="single" w:color="000000" w:themeColor="text1"/>
        </w:rPr>
        <w:t xml:space="preserve">The law enforcement officer on the scene shall advise the </w:t>
      </w:r>
      <w:r w:rsidR="00552E35">
        <w:rPr>
          <w:color w:val="000000" w:themeColor="text1"/>
          <w:u w:val="single" w:color="000000" w:themeColor="text1"/>
        </w:rPr>
        <w:t xml:space="preserve">person in possession of the handgun </w:t>
      </w:r>
      <w:r w:rsidRPr="003B7DC2">
        <w:rPr>
          <w:color w:val="000000" w:themeColor="text1"/>
          <w:u w:val="single" w:color="000000" w:themeColor="text1"/>
        </w:rPr>
        <w:t>how to lawfully store the handgun pursuant to the provisions of this item</w:t>
      </w:r>
      <w:r w:rsidRPr="003B7DC2">
        <w:rPr>
          <w:color w:val="000000" w:themeColor="text1"/>
          <w:u w:color="000000" w:themeColor="text1"/>
        </w:rPr>
        <w:t>; or</w:t>
      </w:r>
    </w:p>
    <w:p w:rsidR="002F6932" w:rsidRPr="003B7DC2" w:rsidRDefault="00CE700F" w:rsidP="002F6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2F6932" w:rsidRPr="003B7DC2">
        <w:rPr>
          <w:color w:val="000000" w:themeColor="text1"/>
          <w:u w:color="000000" w:themeColor="text1"/>
        </w:rPr>
        <w:t>carried openly or concealed on or about his person, and he has a valid concealed weapons permit pursuant to the provisions of Article 4, Chapter 31, Title 23;”</w:t>
      </w:r>
    </w:p>
    <w:p w:rsidR="002F6932" w:rsidRDefault="002F69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1B7" w:rsidRDefault="00FD31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F6932">
        <w:t>2</w:t>
      </w:r>
      <w:r>
        <w:t>.</w:t>
      </w:r>
      <w:r>
        <w:tab/>
        <w:t>This act takes effect upon approval by the Governor.</w:t>
      </w:r>
    </w:p>
    <w:p w:rsidR="00B71460" w:rsidRDefault="0010776B" w:rsidP="00A90A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2176C" w:rsidRDefault="00E2176C" w:rsidP="00E2176C">
      <w:pPr>
        <w:suppressAutoHyphens/>
      </w:pPr>
    </w:p>
    <w:sectPr w:rsidR="00E2176C" w:rsidSect="00E2176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D31B7" w:rsidRDefault="00FD31B7" w:rsidP="009F0C77">
      <w:r>
        <w:separator/>
      </w:r>
    </w:p>
  </w:endnote>
  <w:endnote w:type="continuationSeparator" w:id="0">
    <w:p w:rsidR="00FD31B7" w:rsidRDefault="00FD31B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4B1ADE3-7D55-4ACE-9F9C-FC9C80A98EDC}"/>
    <w:embedBold r:id="rId2" w:fontKey="{BB480C2E-C07F-48F1-87FC-740F8894347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9ADA477-9DB8-46C0-914E-A2D64EE27C0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BAA6B3E-F9C4-4AD4-89A1-DDB13FBF01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CC31070-1589-441B-BEC2-0E9BF0C554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2176C" w:rsidRPr="00470CF6" w:rsidRDefault="00E2176C" w:rsidP="00470C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D31B7" w:rsidRDefault="00FD31B7" w:rsidP="009F0C77">
      <w:r>
        <w:separator/>
      </w:r>
    </w:p>
  </w:footnote>
  <w:footnote w:type="continuationSeparator" w:id="0">
    <w:p w:rsidR="00FD31B7" w:rsidRDefault="00FD31B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7611AHB22"/>
    <w:docVar w:name="CoverBillType" w:val="b"/>
    <w:docVar w:name="DocPath" w:val="L:\Council\bills\BH\7611AHB22.DOCX"/>
    <w:docVar w:name="dvBillNumber" w:val="5223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FD31B7"/>
    <w:rsid w:val="00011869"/>
    <w:rsid w:val="00015CD6"/>
    <w:rsid w:val="000C6D7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693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13DF"/>
    <w:rsid w:val="0041760A"/>
    <w:rsid w:val="00417C01"/>
    <w:rsid w:val="004403BD"/>
    <w:rsid w:val="00461441"/>
    <w:rsid w:val="00466E53"/>
    <w:rsid w:val="00470CF6"/>
    <w:rsid w:val="004809EE"/>
    <w:rsid w:val="004E7D54"/>
    <w:rsid w:val="005273C6"/>
    <w:rsid w:val="00530A69"/>
    <w:rsid w:val="00545593"/>
    <w:rsid w:val="00552E35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23904"/>
    <w:rsid w:val="00824AD7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0582"/>
    <w:rsid w:val="00A41684"/>
    <w:rsid w:val="00A64E80"/>
    <w:rsid w:val="00A72BCD"/>
    <w:rsid w:val="00A741D9"/>
    <w:rsid w:val="00A833AB"/>
    <w:rsid w:val="00A90AEC"/>
    <w:rsid w:val="00A9741D"/>
    <w:rsid w:val="00AC34A2"/>
    <w:rsid w:val="00AD1C9A"/>
    <w:rsid w:val="00AD4B17"/>
    <w:rsid w:val="00B412D4"/>
    <w:rsid w:val="00B64FFF"/>
    <w:rsid w:val="00B71460"/>
    <w:rsid w:val="00B80EF2"/>
    <w:rsid w:val="00BE3C22"/>
    <w:rsid w:val="00C0345E"/>
    <w:rsid w:val="00C21ABE"/>
    <w:rsid w:val="00C31C95"/>
    <w:rsid w:val="00C3483A"/>
    <w:rsid w:val="00C37479"/>
    <w:rsid w:val="00C676FC"/>
    <w:rsid w:val="00C74E9D"/>
    <w:rsid w:val="00C826DD"/>
    <w:rsid w:val="00C82FD3"/>
    <w:rsid w:val="00C92819"/>
    <w:rsid w:val="00CC6B7B"/>
    <w:rsid w:val="00CD2089"/>
    <w:rsid w:val="00CE700F"/>
    <w:rsid w:val="00D73A67"/>
    <w:rsid w:val="00D970A9"/>
    <w:rsid w:val="00DF2FB5"/>
    <w:rsid w:val="00DF3845"/>
    <w:rsid w:val="00E2176C"/>
    <w:rsid w:val="00E41911"/>
    <w:rsid w:val="00E44B57"/>
    <w:rsid w:val="00E92EEF"/>
    <w:rsid w:val="00EF2368"/>
    <w:rsid w:val="00F24442"/>
    <w:rsid w:val="00F436DF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31B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1B26A9-F7B4-4649-A9B8-0D462DA19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70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00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217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40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40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5223_2022040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223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EB01AA-2DB5-4E80-9D4D-DDCB4462D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5223: Subject not yet available - South Carolina Legislature Online</dc:title>
  <dc:creator>Bonnie Huth</dc:creator>
  <cp:lastModifiedBy>Sade Wilson</cp:lastModifiedBy>
  <cp:revision>2</cp:revision>
  <cp:lastPrinted>2022-04-05T17:15:00Z</cp:lastPrinted>
  <dcterms:created xsi:type="dcterms:W3CDTF">2022-04-07T13:31:00Z</dcterms:created>
  <dcterms:modified xsi:type="dcterms:W3CDTF">2022-04-07T13:31:00Z</dcterms:modified>
</cp:coreProperties>
</file>