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351"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330B" w:rsidRP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Pr="0089330B" w:rsidRDefault="0089330B" w:rsidP="0089330B">
      <w:pPr>
        <w:tabs>
          <w:tab w:val="right" w:pos="5933"/>
        </w:tabs>
        <w:suppressAutoHyphens/>
      </w:pPr>
      <w:r>
        <w:tab/>
      </w:r>
      <w:r>
        <w:rPr>
          <w:b/>
          <w:sz w:val="36"/>
        </w:rPr>
        <w:t>H. 3340</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9330B" w:rsidRP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330B"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2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bookmarkEnd w:id="1"/>
    </w:p>
    <w:p w:rsidR="0010776B" w:rsidRDefault="0089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330B" w:rsidRDefault="0089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44">
        <w:t>SECTION</w:t>
      </w:r>
      <w:r w:rsidRPr="007D7F44">
        <w:tab/>
        <w:t>1.</w:t>
      </w:r>
      <w:r w:rsidRPr="007D7F44">
        <w:tab/>
        <w:t>Section 12</w:t>
      </w:r>
      <w:r w:rsidRPr="007D7F44">
        <w:noBreakHyphen/>
        <w:t>20</w:t>
      </w:r>
      <w:r w:rsidRPr="007D7F44">
        <w:noBreakHyphen/>
        <w:t>105 of the 1976 Code is amended to read:</w:t>
      </w: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t>“Section 12</w:t>
      </w:r>
      <w:r w:rsidRPr="007D7F44">
        <w:noBreakHyphen/>
        <w:t>20</w:t>
      </w:r>
      <w:r w:rsidRPr="007D7F44">
        <w:noBreakHyphen/>
        <w:t>105.</w:t>
      </w:r>
      <w:r w:rsidRPr="007D7F44">
        <w:rPr>
          <w:lang w:val="en-PH"/>
        </w:rPr>
        <w:tab/>
        <w:t>(A)</w:t>
      </w:r>
      <w:r w:rsidRPr="007D7F44">
        <w:rPr>
          <w:lang w:val="en-PH"/>
        </w:rPr>
        <w:tab/>
        <w:t>Any company subject to a license tax under Section 12</w:t>
      </w:r>
      <w:r w:rsidRPr="007D7F44">
        <w:rPr>
          <w:lang w:val="en-PH"/>
        </w:rPr>
        <w:noBreakHyphen/>
        <w:t>20</w:t>
      </w:r>
      <w:r w:rsidRPr="007D7F44">
        <w:rPr>
          <w:lang w:val="en-PH"/>
        </w:rPr>
        <w:noBreakHyphen/>
        <w:t xml:space="preserve">100 may claim a credit against its license tax liability for amounts paid in cash to provide infrastructure for an eligible project. </w:t>
      </w:r>
      <w:r w:rsidRPr="007D7F44">
        <w:rPr>
          <w:u w:val="single" w:color="000000" w:themeColor="text1"/>
        </w:rPr>
        <w:t>A company may enter into a multi</w:t>
      </w:r>
      <w:r w:rsidRPr="007D7F44">
        <w:rPr>
          <w:u w:val="single" w:color="000000" w:themeColor="text1"/>
        </w:rPr>
        <w:noBreakHyphen/>
        <w:t xml:space="preserve">year commitment to provide cash to provide infrastructure after the infrastructure has been completed. Where a company has entered </w:t>
      </w:r>
      <w:r w:rsidRPr="007D7F44">
        <w:rPr>
          <w:u w:val="single" w:color="000000" w:themeColor="text1"/>
        </w:rPr>
        <w:lastRenderedPageBreak/>
        <w:t>into an agreement to pay cash to provide infrastructure for an eligible project, and the eligible project is not constructed by the end of the tax year, the company may provide cash in that or a future year to another eligible project and retain the credit.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(B)(1)</w:t>
      </w:r>
      <w:r w:rsidRPr="007D7F44">
        <w:rPr>
          <w:lang w:val="en-PH"/>
        </w:rPr>
        <w:tab/>
        <w:t>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In a county in which at least five million dollars in state accommodations tax imposed pursuant to Section 12</w:t>
      </w:r>
      <w:r w:rsidRPr="007D7F44">
        <w:rPr>
          <w:lang w:val="en-PH"/>
        </w:rPr>
        <w:noBreakHyphen/>
        <w:t>36</w:t>
      </w:r>
      <w:r w:rsidRPr="007D7F44">
        <w:rPr>
          <w:lang w:val="en-PH"/>
        </w:rPr>
        <w:noBreakHyphen/>
        <w:t>920 has been collected in at least one fiscal year, a county or municipality</w:t>
      </w:r>
      <w:r w:rsidRPr="007D7F44">
        <w:rPr>
          <w:lang w:val="en-PH"/>
        </w:rPr>
        <w:noBreakHyphen/>
        <w:t>owned multiuse sports and recreational complex is considered an ‘eligible project’ promoting economic development for all purposes of the credit allowed pursuant to this section.</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(C)</w:t>
      </w:r>
      <w:r w:rsidRPr="007D7F44">
        <w:rPr>
          <w:lang w:val="en-PH"/>
        </w:rPr>
        <w:tab/>
        <w:t>For the purpose of this section, “infrastructure” means improvements for water, wastewater, hydrogen fuel, sewer, gas, steam, electric energy, and communication services made to a building or land that are considered necessary, suitable, or useful to an eligible project. These improvements include, but are not limited to:</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(1)</w:t>
      </w:r>
      <w:r w:rsidRPr="007D7F44">
        <w:rPr>
          <w:lang w:val="en-PH"/>
        </w:rPr>
        <w:tab/>
        <w:t>improvements to both public or private water and sewer systems;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fixed transportation facilities including highway, road, rail, water, and air;</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(4)</w:t>
      </w:r>
      <w:r w:rsidRPr="007D7F44">
        <w:rPr>
          <w:lang w:val="en-PH"/>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w:t>
      </w:r>
      <w:r w:rsidRPr="007D7F44">
        <w:rPr>
          <w:lang w:val="en-PH"/>
        </w:rPr>
        <w:lastRenderedPageBreak/>
        <w:t>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(5)</w:t>
      </w:r>
      <w:r w:rsidRPr="007D7F44">
        <w:rPr>
          <w:lang w:val="en-PH"/>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(6)</w:t>
      </w:r>
      <w:r w:rsidRPr="007D7F44">
        <w:rPr>
          <w:lang w:val="en-PH"/>
        </w:rPr>
        <w:tab/>
        <w:t>for a qualifying project pursuant to subsection (B)(2), site preparation costs include, but are not limited to:</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(a)</w:t>
      </w:r>
      <w:r w:rsidRPr="007D7F44">
        <w:rPr>
          <w:lang w:val="en-PH"/>
        </w:rPr>
        <w:tab/>
        <w:t>clearing, grubbing, grading, and stormwater retention; and</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(b)</w:t>
      </w:r>
      <w:r w:rsidRPr="007D7F44">
        <w:rPr>
          <w:lang w:val="en-PH"/>
        </w:rPr>
        <w:tab/>
        <w:t>refurbishment of buildings that are owned or controlled by a county or municipality and are used exclusively for economic development purposes</w:t>
      </w:r>
      <w:r w:rsidRPr="007D7F44">
        <w:rPr>
          <w:u w:val="single"/>
          <w:lang w:val="en-PH"/>
        </w:rPr>
        <w: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color="000000" w:themeColor="text1"/>
        </w:rPr>
        <w:tab/>
      </w:r>
      <w:r w:rsidRPr="007D7F44">
        <w:rPr>
          <w:u w:val="single" w:color="000000" w:themeColor="text1"/>
        </w:rPr>
        <w:t>(7)</w:t>
      </w:r>
      <w:r w:rsidRPr="007D7F44">
        <w:rPr>
          <w:u w:color="000000" w:themeColor="text1"/>
        </w:rPr>
        <w:tab/>
      </w:r>
      <w:r w:rsidRPr="007D7F44">
        <w:rPr>
          <w:u w:val="single" w:color="000000" w:themeColor="text1"/>
        </w:rPr>
        <w:t>for a qualifying project pursuant to subsection (B)(2), eligible expenditures include cash paid to a county, political subdivision, or agency of this state for purposes of defraying public debt incurred to pay for infrastructure on the project</w:t>
      </w:r>
      <w:r w:rsidRPr="007D7F44">
        <w:rPr>
          <w:u w:color="000000" w:themeColor="text1"/>
        </w:rPr>
        <w: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(D)</w:t>
      </w:r>
      <w:r w:rsidRPr="007D7F44">
        <w:rPr>
          <w:lang w:val="en-PH"/>
        </w:rPr>
        <w:tab/>
        <w:t>A company is not allowed the credit provided by this section for actual expenses it incurs in the construction and operation of any building or infrastructure it owns, leases, manages, or operates.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(E)</w:t>
      </w:r>
      <w:r w:rsidRPr="007D7F44">
        <w:rPr>
          <w:u w:val="single"/>
          <w:lang w:val="en-PH"/>
        </w:rPr>
        <w:t>(1)</w:t>
      </w:r>
      <w:r w:rsidRPr="007D7F44">
        <w:rPr>
          <w:lang w:val="en-PH"/>
        </w:rPr>
        <w:tab/>
        <w:t xml:space="preserve">The maximum aggregate credit that may be claimed in any tax year by a single company is </w:t>
      </w:r>
      <w:r w:rsidRPr="007D7F44">
        <w:rPr>
          <w:strike/>
          <w:lang w:val="en-PH"/>
        </w:rPr>
        <w:t>four</w:t>
      </w:r>
      <w:r w:rsidRPr="007D7F44">
        <w:rPr>
          <w:lang w:val="en-PH"/>
        </w:rPr>
        <w:t xml:space="preserve"> </w:t>
      </w:r>
      <w:r w:rsidRPr="007D7F44">
        <w:rPr>
          <w:u w:val="single"/>
          <w:lang w:val="en-PH"/>
        </w:rPr>
        <w:t>six</w:t>
      </w:r>
      <w:bookmarkStart w:id="5" w:name="temp"/>
      <w:bookmarkEnd w:id="5"/>
      <w:r w:rsidRPr="007D7F44">
        <w:rPr>
          <w:lang w:val="en-PH"/>
        </w:rPr>
        <w:t xml:space="preserve"> hundred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lang w:val="en-PH"/>
        </w:rPr>
        <w:tab/>
      </w:r>
      <w:r w:rsidRPr="007D7F44">
        <w:rPr>
          <w:lang w:val="en-PH"/>
        </w:rPr>
        <w:tab/>
      </w:r>
      <w:r w:rsidRPr="007D7F44">
        <w:rPr>
          <w:u w:val="single" w:color="000000" w:themeColor="text1"/>
        </w:rPr>
        <w:t>(2)</w:t>
      </w:r>
      <w:r w:rsidRPr="007D7F44">
        <w:rPr>
          <w:u w:color="000000" w:themeColor="text1"/>
        </w:rPr>
        <w:tab/>
      </w:r>
      <w:r w:rsidRPr="007D7F44">
        <w:rPr>
          <w:u w:val="single" w:color="000000" w:themeColor="text1"/>
        </w:rPr>
        <w:t>Notwithstanding the annual credit limit provided pursuant to item (1), for a contribution for a qualifying project located in a county classified as a Tier II, III, or IV county pursuant to Section 12</w:t>
      </w:r>
      <w:r w:rsidRPr="007D7F44">
        <w:rPr>
          <w:u w:val="single" w:color="000000" w:themeColor="text1"/>
        </w:rPr>
        <w:noBreakHyphen/>
        <w:t>6</w:t>
      </w:r>
      <w:r w:rsidRPr="007D7F44">
        <w:rPr>
          <w:u w:val="single" w:color="000000" w:themeColor="text1"/>
        </w:rPr>
        <w:noBreakHyphen/>
        <w:t>3360(B), the maximum aggregate credit that may be claimed in a tax year by a taxpayer is increased by:</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County Tier</w:t>
      </w:r>
      <w:r w:rsidRPr="007D7F44">
        <w:rPr>
          <w:u w:color="000000" w:themeColor="text1"/>
        </w:rPr>
        <w:tab/>
      </w:r>
      <w:r w:rsidRPr="007D7F44">
        <w:rPr>
          <w:u w:color="000000" w:themeColor="text1"/>
        </w:rPr>
        <w:tab/>
      </w:r>
      <w:r w:rsidRPr="007D7F44">
        <w:rPr>
          <w:u w:color="000000" w:themeColor="text1"/>
        </w:rPr>
        <w:tab/>
      </w:r>
      <w:r w:rsidRPr="007D7F44">
        <w:rPr>
          <w:u w:val="single" w:color="000000" w:themeColor="text1"/>
        </w:rPr>
        <w:t>Credit Amount Increase</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 County</w:t>
      </w:r>
      <w:r w:rsidRPr="007D7F44">
        <w:rPr>
          <w:u w:color="000000" w:themeColor="text1"/>
        </w:rPr>
        <w:tab/>
      </w:r>
      <w:r w:rsidRPr="007D7F44">
        <w:rPr>
          <w:u w:color="000000" w:themeColor="text1"/>
        </w:rPr>
        <w:tab/>
      </w:r>
      <w:r w:rsidRPr="007D7F44">
        <w:rPr>
          <w:u w:val="single" w:color="000000" w:themeColor="text1"/>
        </w:rPr>
        <w:t>Fifty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III County</w:t>
      </w:r>
      <w:r w:rsidRPr="007D7F44">
        <w:rPr>
          <w:u w:color="000000" w:themeColor="text1"/>
        </w:rPr>
        <w:tab/>
      </w:r>
      <w:r w:rsidRPr="007D7F44">
        <w:rPr>
          <w:u w:color="000000" w:themeColor="text1"/>
        </w:rPr>
        <w:tab/>
      </w:r>
      <w:r w:rsidRPr="007D7F44">
        <w:rPr>
          <w:u w:val="single" w:color="000000" w:themeColor="text1"/>
        </w:rPr>
        <w:t>One hundred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IV County</w:t>
      </w:r>
      <w:r w:rsidRPr="007D7F44">
        <w:rPr>
          <w:u w:color="000000" w:themeColor="text1"/>
        </w:rPr>
        <w:tab/>
      </w:r>
      <w:r w:rsidRPr="007D7F44">
        <w:rPr>
          <w:u w:color="000000" w:themeColor="text1"/>
        </w:rPr>
        <w:tab/>
      </w:r>
      <w:r w:rsidRPr="007D7F44">
        <w:rPr>
          <w:u w:val="single" w:color="000000" w:themeColor="text1"/>
        </w:rPr>
        <w:t>One hundred fifty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D7F44">
        <w:rPr>
          <w:u w:color="000000" w:themeColor="text1"/>
        </w:rPr>
        <w:tab/>
      </w:r>
      <w:r w:rsidRPr="007D7F44">
        <w:rPr>
          <w:u w:color="000000" w:themeColor="text1"/>
        </w:rPr>
        <w:tab/>
      </w:r>
      <w:r w:rsidRPr="007D7F44">
        <w:rPr>
          <w:u w:val="single" w:color="000000" w:themeColor="text1"/>
        </w:rPr>
        <w:t>(3)</w:t>
      </w:r>
      <w:r w:rsidRPr="007D7F44">
        <w:rPr>
          <w:u w:color="000000" w:themeColor="text1"/>
        </w:rPr>
        <w:tab/>
      </w:r>
      <w:r w:rsidRPr="007D7F44">
        <w:rPr>
          <w:u w:val="single" w:color="000000" w:themeColor="text1"/>
        </w:rPr>
        <w:t xml:space="preserve">To be eligible for the increased credit amount provided in item (2), the total of the taxpayer’s credit claim for the taxable year </w:t>
      </w:r>
      <w:r w:rsidRPr="007D7F44">
        <w:rPr>
          <w:u w:val="single" w:color="000000" w:themeColor="text1"/>
        </w:rPr>
        <w:lastRenderedPageBreak/>
        <w:t>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(F)</w:t>
      </w:r>
      <w:r w:rsidRPr="007D7F44">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(G)</w:t>
      </w:r>
      <w:r w:rsidRPr="007D7F44">
        <w:rPr>
          <w:lang w:val="en-PH"/>
        </w:rPr>
        <w:tab/>
        <w:t>For South Carolina income tax and license purposes, a company that claims the credit allowed by this section is ineligible to claim the credit allowed by Section 12</w:t>
      </w:r>
      <w:r w:rsidRPr="007D7F44">
        <w:rPr>
          <w:lang w:val="en-PH"/>
        </w:rPr>
        <w:noBreakHyphen/>
        <w:t>6</w:t>
      </w:r>
      <w:r w:rsidRPr="007D7F44">
        <w:rPr>
          <w:lang w:val="en-PH"/>
        </w:rPr>
        <w:noBreakHyphen/>
        <w:t>3420.</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(H)</w:t>
      </w:r>
      <w:r w:rsidRPr="007D7F44">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(I)</w:t>
      </w:r>
      <w:r w:rsidRPr="007D7F44">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D7F44">
        <w:rPr>
          <w:u w:val="single"/>
          <w:lang w:val="en-PH"/>
        </w:rPr>
        <w:t>, including debt payments on any loans or bonds issued to pay for such infrastructure</w:t>
      </w:r>
      <w:r w:rsidRPr="007D7F44">
        <w:rPr>
          <w:lang w:val="en-PH"/>
        </w:rPr>
        <w:t>.”</w:t>
      </w: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7F44">
        <w:t>SECTION</w:t>
      </w:r>
      <w:r w:rsidRPr="007D7F44">
        <w:tab/>
        <w:t>2.</w:t>
      </w:r>
      <w:r w:rsidRPr="007D7F44">
        <w:tab/>
        <w:t>Upon approval of the Governor, this act applies for credits first claimed for taxable years beginning after 2021.</w:t>
      </w:r>
    </w:p>
    <w:p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5D08" w:rsidRDefault="00535D08" w:rsidP="00535D08">
      <w:pPr>
        <w:suppressAutoHyphens/>
      </w:pPr>
    </w:p>
    <w:sectPr w:rsidR="00535D08"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11" w:rsidRDefault="00352C11" w:rsidP="009F0C77">
      <w:r>
        <w:separator/>
      </w:r>
    </w:p>
  </w:endnote>
  <w:endnote w:type="continuationSeparator" w:id="0">
    <w:p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7D0B51-7F46-47B1-B176-F63A9B78CCE6}"/>
    <w:embedBold r:id="rId2" w:fontKey="{8E479DBE-A510-41FA-9718-BE687A3DF715}"/>
  </w:font>
  <w:font w:name="Calibri">
    <w:panose1 w:val="020F0502020204030204"/>
    <w:charset w:val="00"/>
    <w:family w:val="swiss"/>
    <w:pitch w:val="variable"/>
    <w:sig w:usb0="E4002EFF" w:usb1="C000247B" w:usb2="00000009" w:usb3="00000000" w:csb0="000001FF" w:csb1="00000000"/>
    <w:embedRegular r:id="rId3" w:fontKey="{1BB5AA52-6BB7-42B7-8FFC-FAF645C6BDDB}"/>
  </w:font>
  <w:font w:name="Segoe UI">
    <w:panose1 w:val="020B0502040204020203"/>
    <w:charset w:val="00"/>
    <w:family w:val="swiss"/>
    <w:pitch w:val="variable"/>
    <w:sig w:usb0="E4002EFF" w:usb1="C000E47F" w:usb2="00000009" w:usb3="00000000" w:csb0="000001FF" w:csb1="00000000"/>
    <w:embedRegular r:id="rId4" w:fontKey="{C2C5F3A3-6BBB-4270-85C4-F8C3621B8D05}"/>
  </w:font>
  <w:font w:name="Cambria">
    <w:panose1 w:val="02040503050406030204"/>
    <w:charset w:val="00"/>
    <w:family w:val="roman"/>
    <w:pitch w:val="variable"/>
    <w:sig w:usb0="E00006FF" w:usb1="420024FF" w:usb2="02000000" w:usb3="00000000" w:csb0="0000019F" w:csb1="00000000"/>
    <w:embedRegular r:id="rId5" w:fontKey="{9906A200-ABAC-4319-8B45-B943AF691C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535D08">
      <w:rPr>
        <w:noProof/>
      </w:rPr>
      <w:t>1</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535D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11" w:rsidRDefault="00352C11" w:rsidP="009F0C77">
      <w:r>
        <w:separator/>
      </w:r>
    </w:p>
  </w:footnote>
  <w:footnote w:type="continuationSeparator" w:id="0">
    <w:p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9675F"/>
    <w:rsid w:val="000E0100"/>
    <w:rsid w:val="000E1785"/>
    <w:rsid w:val="000F40FA"/>
    <w:rsid w:val="001035F1"/>
    <w:rsid w:val="0010776B"/>
    <w:rsid w:val="00133E66"/>
    <w:rsid w:val="001435A3"/>
    <w:rsid w:val="00146ED3"/>
    <w:rsid w:val="00151044"/>
    <w:rsid w:val="001D069D"/>
    <w:rsid w:val="001D08F2"/>
    <w:rsid w:val="001D3A58"/>
    <w:rsid w:val="001D525B"/>
    <w:rsid w:val="001D7F4F"/>
    <w:rsid w:val="001F3E35"/>
    <w:rsid w:val="00205238"/>
    <w:rsid w:val="002321B6"/>
    <w:rsid w:val="00232912"/>
    <w:rsid w:val="00250967"/>
    <w:rsid w:val="002543C8"/>
    <w:rsid w:val="0025541D"/>
    <w:rsid w:val="00284AAE"/>
    <w:rsid w:val="002E0D84"/>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35D08"/>
    <w:rsid w:val="00545593"/>
    <w:rsid w:val="00556EBF"/>
    <w:rsid w:val="00577C6C"/>
    <w:rsid w:val="005A62FE"/>
    <w:rsid w:val="005C2FE2"/>
    <w:rsid w:val="005E2BC9"/>
    <w:rsid w:val="00605102"/>
    <w:rsid w:val="006215AA"/>
    <w:rsid w:val="006913C9"/>
    <w:rsid w:val="0069470D"/>
    <w:rsid w:val="006D58AA"/>
    <w:rsid w:val="00734F00"/>
    <w:rsid w:val="00736959"/>
    <w:rsid w:val="00762351"/>
    <w:rsid w:val="007A70AE"/>
    <w:rsid w:val="008362E8"/>
    <w:rsid w:val="0085786E"/>
    <w:rsid w:val="0089330B"/>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9DBE8-C268-4136-8642-E080D4DEC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1399</Words>
  <Characters>7477</Characters>
  <Application>Microsoft Office Word</Application>
  <DocSecurity>0</DocSecurity>
  <Lines>182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(Apr. 6, 2022) - South Carolina Legislature Online</dc:title>
  <dc:creator>Niki Downey</dc:creator>
  <cp:lastModifiedBy>Miriam Cook</cp:lastModifiedBy>
  <cp:revision>2</cp:revision>
  <cp:lastPrinted>2020-11-20T14:59:00Z</cp:lastPrinted>
  <dcterms:created xsi:type="dcterms:W3CDTF">2022-04-06T22:48:00Z</dcterms:created>
  <dcterms:modified xsi:type="dcterms:W3CDTF">2022-04-06T22:48:00Z</dcterms:modified>
</cp:coreProperties>
</file>