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A0E" w:rsidRDefault="00A02A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B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39E4">
        <w:rPr>
          <w:color w:val="000000" w:themeColor="text1"/>
          <w:u w:color="000000" w:themeColor="text1"/>
        </w:rPr>
        <w:t>TO AMEND THE CODE OF SOUTH CAROLINA, 1976, BY ADDING SECTIONS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3710 AND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3720 SO AS TO ALLOW A TAX CREDIT TO ANY TAXPAYER THAT EMPLOYS A FORMERLY INCARCERATED INDIVIDUAL IN AN APPRENTICESHIP PROGRAM, OR A VETERAN OF THE ARMED FORCES IN AN APPRENTICESHIP PROGRAM, TO SPECIFY THE TAXES FOR WHICH THE CREDIT MAY BE APPLIED, AND SPECIFY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SECTION</w:t>
      </w:r>
      <w:r w:rsidRPr="008C39E4">
        <w:rPr>
          <w:color w:val="000000" w:themeColor="text1"/>
          <w:u w:color="000000" w:themeColor="text1"/>
        </w:rPr>
        <w:tab/>
        <w:t>1.</w:t>
      </w:r>
      <w:r w:rsidRPr="008C39E4">
        <w:rPr>
          <w:color w:val="000000" w:themeColor="text1"/>
          <w:u w:color="000000" w:themeColor="text1"/>
        </w:rPr>
        <w:tab/>
        <w:t>Article 25, Chapter 6, Title 12 of the 1976 Code is amended by adding:</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3710.</w:t>
      </w:r>
      <w:r w:rsidRPr="008C39E4">
        <w:rPr>
          <w:color w:val="000000" w:themeColor="text1"/>
          <w:u w:color="000000" w:themeColor="text1"/>
        </w:rPr>
        <w:tab/>
        <w:t>(A)</w:t>
      </w:r>
      <w:r w:rsidRPr="008C39E4">
        <w:rPr>
          <w:color w:val="000000" w:themeColor="text1"/>
          <w:u w:color="000000" w:themeColor="text1"/>
        </w:rPr>
        <w:tab/>
        <w:t>For tax years beginning after 2020, there is allowed a tax credit for any taxpayer that employs a formerly incarcerated individual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(B)</w:t>
      </w:r>
      <w:r w:rsidRPr="008C39E4">
        <w:rPr>
          <w:color w:val="000000" w:themeColor="text1"/>
          <w:u w:color="000000" w:themeColor="text1"/>
        </w:rPr>
        <w:tab/>
        <w:t xml:space="preserve">The credit allowed pursuant to this section may be taken against the income taxes imposed pursuant to this chapter, the bank tax imposed pursuant to Chapter 11 of this title, the savings and loan association tax imposed pursuant to Chapter 13 of this title, the </w:t>
      </w:r>
      <w:r w:rsidRPr="008C39E4">
        <w:rPr>
          <w:color w:val="000000" w:themeColor="text1"/>
          <w:u w:color="000000" w:themeColor="text1"/>
        </w:rPr>
        <w:lastRenderedPageBreak/>
        <w:t>corporate license tax imposed pursuant to Chapter 20 of this title, and insurance premium taxes imposed pursuant to Chapter 7, Title 38.</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(C)</w:t>
      </w:r>
      <w:r w:rsidRPr="008C39E4">
        <w:rPr>
          <w:color w:val="000000" w:themeColor="text1"/>
          <w:u w:color="000000" w:themeColor="text1"/>
        </w:rPr>
        <w:tab/>
        <w:t>The total amount of the tax credit for a taxable year may not exceed the taxpayer</w:t>
      </w:r>
      <w:r w:rsidRPr="004B4B45">
        <w:rPr>
          <w:color w:val="000000" w:themeColor="text1"/>
          <w:u w:color="000000" w:themeColor="text1"/>
        </w:rPr>
        <w:t>’</w:t>
      </w:r>
      <w:r w:rsidRPr="008C39E4">
        <w:rPr>
          <w:color w:val="000000" w:themeColor="text1"/>
          <w:u w:color="000000" w:themeColor="text1"/>
        </w:rPr>
        <w:t>s tax liability.  Any unused credit may be carried over to apply to the taxpayer</w:t>
      </w:r>
      <w:r w:rsidRPr="004B4B45">
        <w:rPr>
          <w:color w:val="000000" w:themeColor="text1"/>
          <w:u w:color="000000" w:themeColor="text1"/>
        </w:rPr>
        <w:t>’</w:t>
      </w:r>
      <w:r w:rsidRPr="008C39E4">
        <w:rPr>
          <w:color w:val="000000" w:themeColor="text1"/>
          <w:u w:color="000000" w:themeColor="text1"/>
        </w:rPr>
        <w:t>s succeeding year</w:t>
      </w:r>
      <w:r w:rsidRPr="004B4B45">
        <w:rPr>
          <w:color w:val="000000" w:themeColor="text1"/>
          <w:u w:color="000000" w:themeColor="text1"/>
        </w:rPr>
        <w:t>’</w:t>
      </w:r>
      <w:r w:rsidRPr="008C39E4">
        <w:rPr>
          <w:color w:val="000000" w:themeColor="text1"/>
          <w:u w:color="000000" w:themeColor="text1"/>
        </w:rPr>
        <w:t>s liability.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(D)(1)</w:t>
      </w:r>
      <w:r w:rsidRPr="008C39E4">
        <w:rPr>
          <w:color w:val="000000" w:themeColor="text1"/>
          <w:u w:color="000000" w:themeColor="text1"/>
        </w:rPr>
        <w:tab/>
        <w:t xml:space="preserve">The tax credit is earned in the year in which the formerly incarcerated individual completes the twelfth consecutive month of employment with the taxpayer.  The credit is earned in the same manner and on the same schedule in the second and third year of employment.  </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(2)</w:t>
      </w:r>
      <w:r w:rsidRPr="008C39E4">
        <w:rPr>
          <w:color w:val="000000" w:themeColor="text1"/>
          <w:u w:color="000000" w:themeColor="text1"/>
        </w:rPr>
        <w:tab/>
        <w:t>The tax credit allowed by this section only may be claimed for an eligible individual once, regardless of the employer.  The department shall consult with the Department of Commerce, the Department of Employment and Workforce, SCWorks, and any other agency or entity necessary to establish a process by which employers are aware of an individual</w:t>
      </w:r>
      <w:r w:rsidRPr="004B4B45">
        <w:rPr>
          <w:color w:val="000000" w:themeColor="text1"/>
          <w:u w:color="000000" w:themeColor="text1"/>
        </w:rPr>
        <w:t>’</w:t>
      </w:r>
      <w:r w:rsidRPr="008C39E4">
        <w:rPr>
          <w:color w:val="000000" w:themeColor="text1"/>
          <w:u w:color="000000" w:themeColor="text1"/>
        </w:rPr>
        <w:t>s eligibility for the credit allowed by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(E)</w:t>
      </w:r>
      <w:r w:rsidRPr="008C39E4">
        <w:rPr>
          <w:color w:val="000000" w:themeColor="text1"/>
          <w:u w:color="000000" w:themeColor="text1"/>
        </w:rPr>
        <w:tab/>
        <w:t xml:space="preserve">Notwithstanding any other provision of this section, the credit allowed by this section only may be claimed if the formerly incarcerated individual is employed by the employer in the registered apprenticeship program before 2026.  If the individual is employed before such time, then the employer may claim the credit for each year the individual is eligible and on the same schedule as provided in this section. </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(F)</w:t>
      </w:r>
      <w:r w:rsidRPr="008C39E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(G)</w:t>
      </w:r>
      <w:r w:rsidRPr="008C39E4">
        <w:rPr>
          <w:color w:val="000000" w:themeColor="text1"/>
          <w:u w:color="000000" w:themeColor="text1"/>
        </w:rPr>
        <w:tab/>
        <w:t>For purposes of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(1)</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Full</w:t>
      </w:r>
      <w:r>
        <w:rPr>
          <w:color w:val="000000" w:themeColor="text1"/>
          <w:u w:color="000000" w:themeColor="text1"/>
        </w:rPr>
        <w:noBreakHyphen/>
      </w:r>
      <w:r w:rsidRPr="008C39E4">
        <w:rPr>
          <w:color w:val="000000" w:themeColor="text1"/>
          <w:u w:color="000000" w:themeColor="text1"/>
        </w:rPr>
        <w:t>time</w:t>
      </w:r>
      <w:r w:rsidRPr="004B4B45">
        <w:rPr>
          <w:color w:val="000000" w:themeColor="text1"/>
          <w:u w:color="000000" w:themeColor="text1"/>
        </w:rPr>
        <w:t>’</w:t>
      </w:r>
      <w:r w:rsidRPr="008C39E4">
        <w:rPr>
          <w:color w:val="000000" w:themeColor="text1"/>
          <w:u w:color="000000" w:themeColor="text1"/>
        </w:rPr>
        <w:t xml:space="preserve"> has the same meaning as provided in 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3360.</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(2)</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Incarcerated individual</w:t>
      </w:r>
      <w:r w:rsidRPr="004B4B45">
        <w:rPr>
          <w:color w:val="000000" w:themeColor="text1"/>
          <w:u w:color="000000" w:themeColor="text1"/>
        </w:rPr>
        <w:t>’</w:t>
      </w:r>
      <w:r w:rsidRPr="008C39E4">
        <w:rPr>
          <w:color w:val="000000" w:themeColor="text1"/>
          <w:u w:color="000000" w:themeColor="text1"/>
        </w:rPr>
        <w:t xml:space="preserve"> means an individual that was held in a state or county prison, jail, or detention center for at least ninety consecutive days, but does not include an individual incarcerated for a violent crime set forth in Section 16</w:t>
      </w:r>
      <w:r>
        <w:rPr>
          <w:color w:val="000000" w:themeColor="text1"/>
          <w:u w:color="000000" w:themeColor="text1"/>
        </w:rPr>
        <w:noBreakHyphen/>
      </w:r>
      <w:r w:rsidRPr="008C39E4">
        <w:rPr>
          <w:color w:val="000000" w:themeColor="text1"/>
          <w:u w:color="000000" w:themeColor="text1"/>
        </w:rPr>
        <w:t>1</w:t>
      </w:r>
      <w:r>
        <w:rPr>
          <w:color w:val="000000" w:themeColor="text1"/>
          <w:u w:color="000000" w:themeColor="text1"/>
        </w:rPr>
        <w:noBreakHyphen/>
      </w:r>
      <w:r w:rsidRPr="008C39E4">
        <w:rPr>
          <w:color w:val="000000" w:themeColor="text1"/>
          <w:u w:color="000000" w:themeColor="text1"/>
        </w:rPr>
        <w:t>60</w:t>
      </w:r>
      <w:r w:rsidR="00246927">
        <w:rPr>
          <w:color w:val="000000" w:themeColor="text1"/>
          <w:u w:color="000000" w:themeColor="text1"/>
        </w:rPr>
        <w:t>,</w:t>
      </w:r>
      <w:r w:rsidRPr="008C39E4">
        <w:rPr>
          <w:color w:val="000000" w:themeColor="text1"/>
          <w:u w:color="000000" w:themeColor="text1"/>
        </w:rPr>
        <w:t xml:space="preserve"> unless such individual rec</w:t>
      </w:r>
      <w:r w:rsidR="00246927">
        <w:rPr>
          <w:color w:val="000000" w:themeColor="text1"/>
          <w:u w:color="000000" w:themeColor="text1"/>
        </w:rPr>
        <w:t>eived a pardon for the offense.</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3720.</w:t>
      </w:r>
      <w:r w:rsidRPr="008C39E4">
        <w:rPr>
          <w:color w:val="000000" w:themeColor="text1"/>
          <w:u w:color="000000" w:themeColor="text1"/>
        </w:rPr>
        <w:tab/>
        <w:t>(A)</w:t>
      </w:r>
      <w:r w:rsidRPr="008C39E4">
        <w:rPr>
          <w:color w:val="000000" w:themeColor="text1"/>
          <w:u w:color="000000" w:themeColor="text1"/>
        </w:rPr>
        <w:tab/>
        <w:t xml:space="preserve">For tax years beginning after 2020, there is allowed a tax credit for any taxpayer that employs a veteran of the Armed Forces of the United States in a registered apprenticeship program that has been validated by the United States Department of Labor.  An employer who has one or more eligible employees is </w:t>
      </w:r>
      <w:r w:rsidRPr="008C39E4">
        <w:rPr>
          <w:color w:val="000000" w:themeColor="text1"/>
          <w:u w:color="000000" w:themeColor="text1"/>
        </w:rPr>
        <w:lastRenderedPageBreak/>
        <w:t>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(B)</w:t>
      </w:r>
      <w:r w:rsidRPr="008C39E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(C)</w:t>
      </w:r>
      <w:r w:rsidRPr="008C39E4">
        <w:rPr>
          <w:color w:val="000000" w:themeColor="text1"/>
          <w:u w:color="000000" w:themeColor="text1"/>
        </w:rPr>
        <w:tab/>
        <w:t>The total amount of the tax credit for a taxable year may not exceed the taxpayer</w:t>
      </w:r>
      <w:r w:rsidRPr="004B4B45">
        <w:rPr>
          <w:color w:val="000000" w:themeColor="text1"/>
          <w:u w:color="000000" w:themeColor="text1"/>
        </w:rPr>
        <w:t>’</w:t>
      </w:r>
      <w:r w:rsidRPr="008C39E4">
        <w:rPr>
          <w:color w:val="000000" w:themeColor="text1"/>
          <w:u w:color="000000" w:themeColor="text1"/>
        </w:rPr>
        <w:t>s tax liability.  Any unused credit may be carried over to apply to the taxpayer</w:t>
      </w:r>
      <w:r w:rsidRPr="004B4B45">
        <w:rPr>
          <w:color w:val="000000" w:themeColor="text1"/>
          <w:u w:color="000000" w:themeColor="text1"/>
        </w:rPr>
        <w:t>’</w:t>
      </w:r>
      <w:r w:rsidRPr="008C39E4">
        <w:rPr>
          <w:color w:val="000000" w:themeColor="text1"/>
          <w:u w:color="000000" w:themeColor="text1"/>
        </w:rPr>
        <w:t>s succeeding year</w:t>
      </w:r>
      <w:r w:rsidRPr="004B4B45">
        <w:rPr>
          <w:color w:val="000000" w:themeColor="text1"/>
          <w:u w:color="000000" w:themeColor="text1"/>
        </w:rPr>
        <w:t>’</w:t>
      </w:r>
      <w:r w:rsidRPr="008C39E4">
        <w:rPr>
          <w:color w:val="000000" w:themeColor="text1"/>
          <w:u w:color="000000" w:themeColor="text1"/>
        </w:rPr>
        <w:t>s liability.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(D)(1)</w:t>
      </w:r>
      <w:r w:rsidRPr="008C39E4">
        <w:rPr>
          <w:color w:val="000000" w:themeColor="text1"/>
          <w:u w:color="000000" w:themeColor="text1"/>
        </w:rPr>
        <w:tab/>
        <w:t>The tax credit is earned in the year in which the veteran completes the twelfth consecutive month of employment with the taxpayer.  The credit is earned in the same manner and on the same schedule in the second and third year of employment.</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(2)</w:t>
      </w:r>
      <w:r w:rsidRPr="008C39E4">
        <w:rPr>
          <w:color w:val="000000" w:themeColor="text1"/>
          <w:u w:color="000000" w:themeColor="text1"/>
        </w:rPr>
        <w:tab/>
        <w:t>The tax credit allowed by this section only may be claimed for an eligible individual once, regardless of the employer.  The department shall consult with the Department of Commerce, the Department of Employment and Workforce, SCWorks, and any other agency or department necessary to establish a process by which employers are aware of an individual</w:t>
      </w:r>
      <w:r w:rsidRPr="004B4B45">
        <w:rPr>
          <w:color w:val="000000" w:themeColor="text1"/>
          <w:u w:color="000000" w:themeColor="text1"/>
        </w:rPr>
        <w:t>’</w:t>
      </w:r>
      <w:r w:rsidRPr="008C39E4">
        <w:rPr>
          <w:color w:val="000000" w:themeColor="text1"/>
          <w:u w:color="000000" w:themeColor="text1"/>
        </w:rPr>
        <w:t>s eligibility for the credit allowed by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(E)</w:t>
      </w:r>
      <w:r w:rsidRPr="008C39E4">
        <w:rPr>
          <w:color w:val="000000" w:themeColor="text1"/>
          <w:u w:color="000000" w:themeColor="text1"/>
        </w:rPr>
        <w:tab/>
        <w:t xml:space="preserve">Notwithstanding any other provision of this section, the credit allowed by this section only may be claimed if the veteran is employed by the employer in the registered apprenticeship program before 2026.  If the individual is employed before such time, then the employer may claim the credit for each year the individual is eligible and on the same schedule as provided in this section. </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(F)</w:t>
      </w:r>
      <w:r w:rsidRPr="008C39E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t>(G)</w:t>
      </w:r>
      <w:r w:rsidRPr="008C39E4">
        <w:rPr>
          <w:color w:val="000000" w:themeColor="text1"/>
          <w:u w:color="000000" w:themeColor="text1"/>
        </w:rPr>
        <w:tab/>
        <w:t>For purposes of this section:</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tab/>
      </w:r>
      <w:r w:rsidRPr="008C39E4">
        <w:rPr>
          <w:color w:val="000000" w:themeColor="text1"/>
          <w:u w:color="000000" w:themeColor="text1"/>
        </w:rPr>
        <w:tab/>
        <w:t>(1)</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Full</w:t>
      </w:r>
      <w:r>
        <w:rPr>
          <w:color w:val="000000" w:themeColor="text1"/>
          <w:u w:color="000000" w:themeColor="text1"/>
        </w:rPr>
        <w:noBreakHyphen/>
      </w:r>
      <w:r w:rsidRPr="008C39E4">
        <w:rPr>
          <w:color w:val="000000" w:themeColor="text1"/>
          <w:u w:color="000000" w:themeColor="text1"/>
        </w:rPr>
        <w:t>time</w:t>
      </w:r>
      <w:r w:rsidRPr="004B4B45">
        <w:rPr>
          <w:color w:val="000000" w:themeColor="text1"/>
          <w:u w:color="000000" w:themeColor="text1"/>
        </w:rPr>
        <w:t>’</w:t>
      </w:r>
      <w:r w:rsidRPr="008C39E4">
        <w:rPr>
          <w:color w:val="000000" w:themeColor="text1"/>
          <w:u w:color="000000" w:themeColor="text1"/>
        </w:rPr>
        <w:t xml:space="preserve"> has the same meaning as provided in Section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3360.</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9E4">
        <w:rPr>
          <w:color w:val="000000" w:themeColor="text1"/>
          <w:u w:color="000000" w:themeColor="text1"/>
        </w:rPr>
        <w:lastRenderedPageBreak/>
        <w:tab/>
      </w:r>
      <w:r w:rsidRPr="008C39E4">
        <w:rPr>
          <w:color w:val="000000" w:themeColor="text1"/>
          <w:u w:color="000000" w:themeColor="text1"/>
        </w:rPr>
        <w:tab/>
        <w:t>(2)</w:t>
      </w:r>
      <w:r w:rsidRPr="008C39E4">
        <w:rPr>
          <w:color w:val="000000" w:themeColor="text1"/>
          <w:u w:color="000000" w:themeColor="text1"/>
        </w:rPr>
        <w:tab/>
      </w:r>
      <w:r w:rsidRPr="004B4B45">
        <w:rPr>
          <w:color w:val="000000" w:themeColor="text1"/>
          <w:u w:color="000000" w:themeColor="text1"/>
        </w:rPr>
        <w:t>‘</w:t>
      </w:r>
      <w:r w:rsidRPr="008C39E4">
        <w:rPr>
          <w:color w:val="000000" w:themeColor="text1"/>
          <w:u w:color="000000" w:themeColor="text1"/>
        </w:rPr>
        <w:t>Veteran</w:t>
      </w:r>
      <w:r w:rsidRPr="004B4B45">
        <w:rPr>
          <w:color w:val="000000" w:themeColor="text1"/>
          <w:u w:color="000000" w:themeColor="text1"/>
        </w:rPr>
        <w:t>’</w:t>
      </w:r>
      <w:r w:rsidRPr="008C39E4">
        <w:rPr>
          <w:color w:val="000000" w:themeColor="text1"/>
          <w:u w:color="000000" w:themeColor="text1"/>
        </w:rPr>
        <w:t xml:space="preserve"> has the same meaning as provided in Section 25</w:t>
      </w:r>
      <w:r>
        <w:rPr>
          <w:color w:val="000000" w:themeColor="text1"/>
          <w:u w:color="000000" w:themeColor="text1"/>
        </w:rPr>
        <w:noBreakHyphen/>
      </w:r>
      <w:r w:rsidRPr="008C39E4">
        <w:rPr>
          <w:color w:val="000000" w:themeColor="text1"/>
          <w:u w:color="000000" w:themeColor="text1"/>
        </w:rPr>
        <w:t>11</w:t>
      </w:r>
      <w:r>
        <w:rPr>
          <w:color w:val="000000" w:themeColor="text1"/>
          <w:u w:color="000000" w:themeColor="text1"/>
        </w:rPr>
        <w:noBreakHyphen/>
      </w:r>
      <w:r w:rsidRPr="008C39E4">
        <w:rPr>
          <w:color w:val="000000" w:themeColor="text1"/>
          <w:u w:color="000000" w:themeColor="text1"/>
        </w:rPr>
        <w:t>40.”</w:t>
      </w:r>
    </w:p>
    <w:p w:rsidR="004B4B45" w:rsidRPr="008C39E4"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B60" w:rsidRDefault="004B4B45" w:rsidP="004B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39E4">
        <w:rPr>
          <w:color w:val="000000" w:themeColor="text1"/>
          <w:u w:color="000000" w:themeColor="text1"/>
        </w:rPr>
        <w:t>SECTION</w:t>
      </w:r>
      <w:r w:rsidRPr="008C39E4">
        <w:rPr>
          <w:color w:val="000000" w:themeColor="text1"/>
          <w:u w:color="000000" w:themeColor="text1"/>
        </w:rPr>
        <w:tab/>
        <w:t>2.</w:t>
      </w:r>
      <w:r w:rsidR="00780B60">
        <w:tab/>
        <w:t>This act takes effect upon approval by the Governor.</w:t>
      </w:r>
    </w:p>
    <w:p w:rsidR="00B04DD9" w:rsidRDefault="004B4B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A0E" w:rsidRDefault="00A02A0E" w:rsidP="00A02A0E">
      <w:pPr>
        <w:suppressAutoHyphens/>
      </w:pPr>
    </w:p>
    <w:sectPr w:rsidR="00A02A0E" w:rsidSect="00A02A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B60" w:rsidRDefault="00780B60" w:rsidP="009F0C77">
      <w:r>
        <w:separator/>
      </w:r>
    </w:p>
  </w:endnote>
  <w:endnote w:type="continuationSeparator" w:id="0">
    <w:p w:rsidR="00780B60" w:rsidRDefault="00780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BC47EB-8E33-4EB9-81CB-F599E63E82A7}"/>
    <w:embedBold r:id="rId2" w:fontKey="{135BC0F0-A17D-4A6A-9274-DA4FF5AD977E}"/>
  </w:font>
  <w:font w:name="Calibri">
    <w:panose1 w:val="020F0502020204030204"/>
    <w:charset w:val="00"/>
    <w:family w:val="swiss"/>
    <w:pitch w:val="variable"/>
    <w:sig w:usb0="E4002EFF" w:usb1="C000247B" w:usb2="00000009" w:usb3="00000000" w:csb0="000001FF" w:csb1="00000000"/>
    <w:embedRegular r:id="rId3" w:fontKey="{85535A17-5EFA-41F6-A2BC-043DE29646C5}"/>
  </w:font>
  <w:font w:name="Segoe UI">
    <w:panose1 w:val="020B0502040204020203"/>
    <w:charset w:val="00"/>
    <w:family w:val="swiss"/>
    <w:pitch w:val="variable"/>
    <w:sig w:usb0="E4002EFF" w:usb1="C000E47F" w:usb2="00000009" w:usb3="00000000" w:csb0="000001FF" w:csb1="00000000"/>
    <w:embedRegular r:id="rId4" w:fontKey="{5F1D0963-99AC-4764-8FA8-F284CD6E0033}"/>
  </w:font>
  <w:font w:name="Cambria">
    <w:panose1 w:val="02040503050406030204"/>
    <w:charset w:val="00"/>
    <w:family w:val="roman"/>
    <w:pitch w:val="variable"/>
    <w:sig w:usb0="E00006FF" w:usb1="420024FF" w:usb2="02000000" w:usb3="00000000" w:csb0="0000019F" w:csb1="00000000"/>
    <w:embedRegular r:id="rId5" w:fontKey="{1F0A00C6-996B-4D01-97D0-9DC07EBCE8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D9" w:rsidRPr="00A02A0E" w:rsidRDefault="00A02A0E" w:rsidP="00A02A0E">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B60" w:rsidRDefault="00780B60" w:rsidP="009F0C77">
      <w:r>
        <w:separator/>
      </w:r>
    </w:p>
  </w:footnote>
  <w:footnote w:type="continuationSeparator" w:id="0">
    <w:p w:rsidR="00780B60" w:rsidRDefault="00780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DG21"/>
    <w:docVar w:name="CoverBillType" w:val="b"/>
    <w:docVar w:name="DocPath" w:val="L:\Council\bills\NBD\11013DG21.DOCX"/>
    <w:docVar w:name="dvBillNumber" w:val="3348"/>
    <w:docVar w:name="dvBillNumberPrefix" w:val="H. "/>
    <w:docVar w:name="dvOriginalBody" w:val="House"/>
    <w:docVar w:name="dvSteno" w:val="NBD"/>
    <w:docVar w:name="NameofBody" w:val="h"/>
    <w:docVar w:name="vGroup2" w:val="Council"/>
  </w:docVars>
  <w:rsids>
    <w:rsidRoot w:val="00780B6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92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B4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EAA"/>
    <w:rsid w:val="00734F00"/>
    <w:rsid w:val="00736959"/>
    <w:rsid w:val="007575B7"/>
    <w:rsid w:val="00780B60"/>
    <w:rsid w:val="007A70AE"/>
    <w:rsid w:val="008362E8"/>
    <w:rsid w:val="0085786E"/>
    <w:rsid w:val="008A1768"/>
    <w:rsid w:val="008A489F"/>
    <w:rsid w:val="008F0F33"/>
    <w:rsid w:val="008F4429"/>
    <w:rsid w:val="0094021A"/>
    <w:rsid w:val="009B44AF"/>
    <w:rsid w:val="009C6A0B"/>
    <w:rsid w:val="009F0C77"/>
    <w:rsid w:val="009F4DD1"/>
    <w:rsid w:val="00A02543"/>
    <w:rsid w:val="00A02A0E"/>
    <w:rsid w:val="00A41684"/>
    <w:rsid w:val="00A64E80"/>
    <w:rsid w:val="00A72BCD"/>
    <w:rsid w:val="00A741D9"/>
    <w:rsid w:val="00A833AB"/>
    <w:rsid w:val="00A9741D"/>
    <w:rsid w:val="00AC34A2"/>
    <w:rsid w:val="00AD1C9A"/>
    <w:rsid w:val="00AD4B17"/>
    <w:rsid w:val="00B04DD9"/>
    <w:rsid w:val="00B412D4"/>
    <w:rsid w:val="00B64FFF"/>
    <w:rsid w:val="00BD53A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1BF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F2150-AB17-431E-9401-B9891715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3D85-0174-46A4-9BAC-607E2173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1085</Words>
  <Characters>5504</Characters>
  <Application>Microsoft Office Word</Application>
  <DocSecurity>0</DocSecurity>
  <Lines>132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3348 Text of Previous Version (Dec. 9, 2020) - South Carolina Legislature Online</dc:title>
  <dc:creator>Niki Downey</dc:creator>
  <cp:lastModifiedBy>Sade Wilson</cp:lastModifiedBy>
  <cp:revision>2</cp:revision>
  <cp:lastPrinted>2020-11-20T15:06:00Z</cp:lastPrinted>
  <dcterms:created xsi:type="dcterms:W3CDTF">2020-12-12T00:24:00Z</dcterms:created>
  <dcterms:modified xsi:type="dcterms:W3CDTF">2020-12-12T00:24:00Z</dcterms:modified>
</cp:coreProperties>
</file>