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FEF" w:rsidRDefault="00EC6FEF"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44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01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07157">
        <w:rPr>
          <w:color w:val="000000" w:themeColor="text1"/>
          <w:u w:color="000000" w:themeColor="text1"/>
        </w:rPr>
        <w:t xml:space="preserve">TO AMEND </w:t>
      </w:r>
      <w:r>
        <w:rPr>
          <w:color w:val="000000" w:themeColor="text1"/>
          <w:u w:color="000000" w:themeColor="text1"/>
        </w:rPr>
        <w:t>SECTION 38</w:t>
      </w:r>
      <w:r w:rsidR="00A735B9">
        <w:rPr>
          <w:color w:val="000000" w:themeColor="text1"/>
          <w:u w:color="000000" w:themeColor="text1"/>
        </w:rPr>
        <w:noBreakHyphen/>
      </w:r>
      <w:r w:rsidR="00A42287">
        <w:rPr>
          <w:color w:val="000000" w:themeColor="text1"/>
          <w:u w:color="000000" w:themeColor="text1"/>
        </w:rPr>
        <w:t>77</w:t>
      </w:r>
      <w:r w:rsidR="00A735B9">
        <w:rPr>
          <w:color w:val="000000" w:themeColor="text1"/>
          <w:u w:color="000000" w:themeColor="text1"/>
        </w:rPr>
        <w:noBreakHyphen/>
      </w:r>
      <w:r>
        <w:rPr>
          <w:color w:val="000000" w:themeColor="text1"/>
          <w:u w:color="000000" w:themeColor="text1"/>
        </w:rPr>
        <w:t>30,</w:t>
      </w:r>
      <w:r w:rsidRPr="00A07157">
        <w:rPr>
          <w:color w:val="000000" w:themeColor="text1"/>
          <w:u w:color="000000" w:themeColor="text1"/>
        </w:rPr>
        <w:t xml:space="preserve"> </w:t>
      </w:r>
      <w:r>
        <w:rPr>
          <w:color w:val="000000" w:themeColor="text1"/>
          <w:u w:color="000000" w:themeColor="text1"/>
        </w:rPr>
        <w:t xml:space="preserve">AS AMENDED, </w:t>
      </w:r>
      <w:r w:rsidRPr="00A07157">
        <w:rPr>
          <w:color w:val="000000" w:themeColor="text1"/>
          <w:u w:color="000000" w:themeColor="text1"/>
        </w:rPr>
        <w:t xml:space="preserve">CODE OF LAWS OF SOUTH CAROLINA, 1976, RELATING TO THE DEFINITION OF </w:t>
      </w:r>
      <w:r w:rsidR="00A42287">
        <w:rPr>
          <w:color w:val="000000" w:themeColor="text1"/>
          <w:u w:color="000000" w:themeColor="text1"/>
        </w:rPr>
        <w:t>“</w:t>
      </w:r>
      <w:r w:rsidRPr="00A07157">
        <w:rPr>
          <w:color w:val="000000" w:themeColor="text1"/>
          <w:u w:color="000000" w:themeColor="text1"/>
        </w:rPr>
        <w:t>REDUCTION IN COVERAGE</w:t>
      </w:r>
      <w:r w:rsidR="00A42287">
        <w:rPr>
          <w:color w:val="000000" w:themeColor="text1"/>
          <w:u w:color="000000" w:themeColor="text1"/>
        </w:rPr>
        <w:t>”</w:t>
      </w:r>
      <w:r w:rsidRPr="00A07157">
        <w:rPr>
          <w:color w:val="000000" w:themeColor="text1"/>
          <w:u w:color="000000" w:themeColor="text1"/>
        </w:rPr>
        <w:t>, SO AS TO PROHIBIT AN INSURER FROM TREATING A CORRECTION OF A TYPOGRAPHICAL OR SCRIVENER</w:t>
      </w:r>
      <w:r w:rsidR="00A735B9" w:rsidRPr="00A735B9">
        <w:rPr>
          <w:color w:val="000000" w:themeColor="text1"/>
          <w:u w:color="000000" w:themeColor="text1"/>
        </w:rPr>
        <w:t>’</w:t>
      </w:r>
      <w:r w:rsidRPr="00A07157">
        <w:rPr>
          <w:color w:val="000000" w:themeColor="text1"/>
          <w:u w:color="000000" w:themeColor="text1"/>
        </w:rPr>
        <w:t>S ERROR AS A REDUCTION IN COVERAGE AND TO AMEND SECTION 38</w:t>
      </w:r>
      <w:r w:rsidR="00A735B9">
        <w:rPr>
          <w:color w:val="000000" w:themeColor="text1"/>
          <w:u w:color="000000" w:themeColor="text1"/>
        </w:rPr>
        <w:noBreakHyphen/>
      </w:r>
      <w:r w:rsidRPr="00A07157">
        <w:rPr>
          <w:color w:val="000000" w:themeColor="text1"/>
          <w:u w:color="000000" w:themeColor="text1"/>
        </w:rPr>
        <w:t>77</w:t>
      </w:r>
      <w:r w:rsidR="00A735B9">
        <w:rPr>
          <w:color w:val="000000" w:themeColor="text1"/>
          <w:u w:color="000000" w:themeColor="text1"/>
        </w:rPr>
        <w:noBreakHyphen/>
      </w:r>
      <w:r w:rsidRPr="00A07157">
        <w:rPr>
          <w:color w:val="000000" w:themeColor="text1"/>
          <w:u w:color="000000" w:themeColor="text1"/>
        </w:rPr>
        <w:t>120</w:t>
      </w:r>
      <w:r w:rsidR="00C81ED9">
        <w:rPr>
          <w:color w:val="000000" w:themeColor="text1"/>
          <w:u w:color="000000" w:themeColor="text1"/>
        </w:rPr>
        <w:t>,</w:t>
      </w:r>
      <w:r w:rsidRPr="00A07157">
        <w:rPr>
          <w:color w:val="000000" w:themeColor="text1"/>
          <w:u w:color="000000" w:themeColor="text1"/>
        </w:rPr>
        <w:t xml:space="preserve"> RELATING TO NOTICE REQUIREMENTS FOR CANCELLATION OR THE REFUSAL TO REVIEW A POLICY, SO AS TO MAKE CONFORMING CHANGES.</w:t>
      </w:r>
      <w:bookmarkStart w:id="4" w:name="titleend"/>
      <w:bookmarkEnd w:id="4"/>
    </w:p>
    <w:p w:rsidR="00CA0125" w:rsidRDefault="00CA01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4C8" w:rsidRDefault="00CA4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44C8" w:rsidRDefault="00CA4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157">
        <w:rPr>
          <w:color w:val="000000" w:themeColor="text1"/>
          <w:u w:color="000000" w:themeColor="text1"/>
        </w:rPr>
        <w:t>SECTION</w:t>
      </w:r>
      <w:r w:rsidR="00C31E99">
        <w:rPr>
          <w:color w:val="000000" w:themeColor="text1"/>
          <w:u w:color="000000" w:themeColor="text1"/>
        </w:rPr>
        <w:tab/>
      </w:r>
      <w:r w:rsidRPr="00A07157">
        <w:rPr>
          <w:color w:val="000000" w:themeColor="text1"/>
          <w:u w:color="000000" w:themeColor="text1"/>
        </w:rPr>
        <w:t>1.</w:t>
      </w:r>
      <w:r w:rsidR="00C31E99">
        <w:rPr>
          <w:color w:val="000000" w:themeColor="text1"/>
          <w:u w:color="000000" w:themeColor="text1"/>
        </w:rPr>
        <w:tab/>
      </w:r>
      <w:r w:rsidRPr="00A07157">
        <w:rPr>
          <w:color w:val="000000" w:themeColor="text1"/>
          <w:u w:color="000000" w:themeColor="text1"/>
        </w:rPr>
        <w:t>Section 38</w:t>
      </w:r>
      <w:r w:rsidR="00A735B9">
        <w:rPr>
          <w:color w:val="000000" w:themeColor="text1"/>
          <w:u w:color="000000" w:themeColor="text1"/>
        </w:rPr>
        <w:noBreakHyphen/>
      </w:r>
      <w:r w:rsidRPr="00A07157">
        <w:rPr>
          <w:color w:val="000000" w:themeColor="text1"/>
          <w:u w:color="000000" w:themeColor="text1"/>
        </w:rPr>
        <w:t>77</w:t>
      </w:r>
      <w:r w:rsidR="00A735B9">
        <w:rPr>
          <w:color w:val="000000" w:themeColor="text1"/>
          <w:u w:color="000000" w:themeColor="text1"/>
        </w:rPr>
        <w:noBreakHyphen/>
      </w:r>
      <w:r w:rsidRPr="00A07157">
        <w:rPr>
          <w:color w:val="000000" w:themeColor="text1"/>
          <w:u w:color="000000" w:themeColor="text1"/>
        </w:rPr>
        <w:t>30(12.5) of the 1976 Code</w:t>
      </w:r>
      <w:r w:rsidR="003E3541">
        <w:rPr>
          <w:color w:val="000000" w:themeColor="text1"/>
          <w:u w:color="000000" w:themeColor="text1"/>
        </w:rPr>
        <w:t>, as last amended by Act 174 of 2020,</w:t>
      </w:r>
      <w:r w:rsidRPr="00A07157">
        <w:rPr>
          <w:color w:val="000000" w:themeColor="text1"/>
          <w:u w:color="000000" w:themeColor="text1"/>
        </w:rPr>
        <w:t xml:space="preserve"> is </w:t>
      </w:r>
      <w:r w:rsidR="003E3541">
        <w:rPr>
          <w:color w:val="000000" w:themeColor="text1"/>
          <w:u w:color="000000" w:themeColor="text1"/>
        </w:rPr>
        <w:t xml:space="preserve">further </w:t>
      </w:r>
      <w:r w:rsidRPr="00A07157">
        <w:rPr>
          <w:color w:val="000000" w:themeColor="text1"/>
          <w:u w:color="000000" w:themeColor="text1"/>
        </w:rPr>
        <w:t>amended to read:</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C36" w:rsidRPr="00A07157" w:rsidRDefault="00C31E99"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4C36" w:rsidRPr="00A07157">
        <w:rPr>
          <w:color w:val="000000" w:themeColor="text1"/>
          <w:u w:color="000000" w:themeColor="text1"/>
        </w:rPr>
        <w:t>“(12.5)</w:t>
      </w:r>
      <w:r>
        <w:rPr>
          <w:color w:val="000000" w:themeColor="text1"/>
          <w:u w:color="000000" w:themeColor="text1"/>
        </w:rPr>
        <w:tab/>
      </w:r>
      <w:r w:rsidR="00A735B9" w:rsidRPr="00A735B9">
        <w:rPr>
          <w:color w:val="000000" w:themeColor="text1"/>
          <w:u w:color="000000" w:themeColor="text1"/>
        </w:rPr>
        <w:t>‘</w:t>
      </w:r>
      <w:r w:rsidR="007C4C36" w:rsidRPr="00A07157">
        <w:rPr>
          <w:color w:val="000000" w:themeColor="text1"/>
          <w:u w:color="000000" w:themeColor="text1"/>
        </w:rPr>
        <w:t>Reduction in coverage</w:t>
      </w:r>
      <w:r w:rsidR="00A735B9" w:rsidRPr="00A735B9">
        <w:rPr>
          <w:color w:val="000000" w:themeColor="text1"/>
          <w:u w:color="000000" w:themeColor="text1"/>
        </w:rPr>
        <w:t>’</w:t>
      </w:r>
      <w:r w:rsidR="007C4C36" w:rsidRPr="00A07157">
        <w:rPr>
          <w:color w:val="000000" w:themeColor="text1"/>
          <w:u w:color="000000" w:themeColor="text1"/>
        </w:rPr>
        <w:t xml:space="preserve"> means a change made by the insurer which results in a removal of coverage, diminution in scope or less coverage, or the addition of an exclusion.  Reduction in coverage does not include any change, reduction, or elimination of coverage made at the request of the insured.  The correction of a typographical or scrivener</w:t>
      </w:r>
      <w:r w:rsidR="00A735B9" w:rsidRPr="00A735B9">
        <w:rPr>
          <w:color w:val="000000" w:themeColor="text1"/>
          <w:u w:color="000000" w:themeColor="text1"/>
        </w:rPr>
        <w:t>’</w:t>
      </w:r>
      <w:r w:rsidR="007C4C36" w:rsidRPr="00A07157">
        <w:rPr>
          <w:color w:val="000000" w:themeColor="text1"/>
          <w:u w:color="000000" w:themeColor="text1"/>
        </w:rPr>
        <w:t xml:space="preserve">s error or the application of mandated legislative changes </w:t>
      </w:r>
      <w:r w:rsidR="007C4C36" w:rsidRPr="00A07157">
        <w:rPr>
          <w:strike/>
          <w:color w:val="000000" w:themeColor="text1"/>
          <w:u w:color="000000" w:themeColor="text1"/>
        </w:rPr>
        <w:t>may not be considered</w:t>
      </w:r>
      <w:r w:rsidR="007C4C36" w:rsidRPr="00A07157">
        <w:rPr>
          <w:color w:val="000000" w:themeColor="text1"/>
          <w:u w:color="000000" w:themeColor="text1"/>
        </w:rPr>
        <w:t xml:space="preserve"> </w:t>
      </w:r>
      <w:r w:rsidR="007C4C36" w:rsidRPr="00890F2D">
        <w:rPr>
          <w:color w:val="000000" w:themeColor="text1"/>
          <w:u w:val="single" w:color="000000" w:themeColor="text1"/>
        </w:rPr>
        <w:t>is not</w:t>
      </w:r>
      <w:r w:rsidR="007C4C36" w:rsidRPr="00A07157">
        <w:rPr>
          <w:color w:val="000000" w:themeColor="text1"/>
          <w:u w:color="000000" w:themeColor="text1"/>
        </w:rPr>
        <w:t xml:space="preserve"> a reduction in coverage.”</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157">
        <w:rPr>
          <w:color w:val="000000" w:themeColor="text1"/>
          <w:u w:color="000000" w:themeColor="text1"/>
        </w:rPr>
        <w:t>SECTION</w:t>
      </w:r>
      <w:r>
        <w:rPr>
          <w:color w:val="000000" w:themeColor="text1"/>
          <w:u w:color="000000" w:themeColor="text1"/>
        </w:rPr>
        <w:tab/>
      </w:r>
      <w:r w:rsidRPr="00A07157">
        <w:rPr>
          <w:color w:val="000000" w:themeColor="text1"/>
          <w:u w:color="000000" w:themeColor="text1"/>
        </w:rPr>
        <w:t>2.</w:t>
      </w:r>
      <w:r>
        <w:rPr>
          <w:color w:val="000000" w:themeColor="text1"/>
          <w:u w:color="000000" w:themeColor="text1"/>
        </w:rPr>
        <w:tab/>
      </w:r>
      <w:r w:rsidRPr="00A07157">
        <w:rPr>
          <w:color w:val="000000" w:themeColor="text1"/>
          <w:u w:color="000000" w:themeColor="text1"/>
        </w:rPr>
        <w:t>Section 38</w:t>
      </w:r>
      <w:r w:rsidR="00A735B9">
        <w:rPr>
          <w:color w:val="000000" w:themeColor="text1"/>
          <w:u w:color="000000" w:themeColor="text1"/>
        </w:rPr>
        <w:noBreakHyphen/>
      </w:r>
      <w:r w:rsidRPr="00A07157">
        <w:rPr>
          <w:color w:val="000000" w:themeColor="text1"/>
          <w:u w:color="000000" w:themeColor="text1"/>
        </w:rPr>
        <w:t>77</w:t>
      </w:r>
      <w:r w:rsidR="00A735B9">
        <w:rPr>
          <w:color w:val="000000" w:themeColor="text1"/>
          <w:u w:color="000000" w:themeColor="text1"/>
        </w:rPr>
        <w:noBreakHyphen/>
      </w:r>
      <w:r w:rsidRPr="00A07157">
        <w:rPr>
          <w:color w:val="000000" w:themeColor="text1"/>
          <w:u w:color="000000" w:themeColor="text1"/>
        </w:rPr>
        <w:t>120(b) of the 1976 Code</w:t>
      </w:r>
      <w:r w:rsidR="003D0525">
        <w:rPr>
          <w:color w:val="000000" w:themeColor="text1"/>
          <w:u w:color="000000" w:themeColor="text1"/>
        </w:rPr>
        <w:t>, as last amended by Act 174 of 2020,</w:t>
      </w:r>
      <w:r w:rsidRPr="00A07157">
        <w:rPr>
          <w:color w:val="000000" w:themeColor="text1"/>
          <w:u w:color="000000" w:themeColor="text1"/>
        </w:rPr>
        <w:t xml:space="preserve"> is </w:t>
      </w:r>
      <w:r w:rsidR="003D0525">
        <w:rPr>
          <w:color w:val="000000" w:themeColor="text1"/>
          <w:u w:color="000000" w:themeColor="text1"/>
        </w:rPr>
        <w:t xml:space="preserve">further </w:t>
      </w:r>
      <w:r w:rsidRPr="00A07157">
        <w:rPr>
          <w:color w:val="000000" w:themeColor="text1"/>
          <w:u w:color="000000" w:themeColor="text1"/>
        </w:rPr>
        <w:t>amended to read:</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157">
        <w:rPr>
          <w:color w:val="000000" w:themeColor="text1"/>
          <w:u w:color="000000" w:themeColor="text1"/>
        </w:rPr>
        <w:t>“(b)</w:t>
      </w:r>
      <w:r w:rsidRPr="00A07157">
        <w:rPr>
          <w:color w:val="000000" w:themeColor="text1"/>
          <w:u w:color="000000" w:themeColor="text1"/>
        </w:rPr>
        <w:tab/>
        <w:t>Subsection (a) does not apply if the:</w:t>
      </w:r>
    </w:p>
    <w:p w:rsidR="007C4C36" w:rsidRPr="00A07157" w:rsidRDefault="00A555D0"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C4C36" w:rsidRPr="00A07157">
        <w:rPr>
          <w:color w:val="000000" w:themeColor="text1"/>
          <w:u w:color="000000" w:themeColor="text1"/>
        </w:rPr>
        <w:t>(1)</w:t>
      </w:r>
      <w:r w:rsidR="007C4C36">
        <w:rPr>
          <w:color w:val="000000" w:themeColor="text1"/>
          <w:u w:color="000000" w:themeColor="text1"/>
        </w:rPr>
        <w:tab/>
      </w:r>
      <w:r w:rsidR="007C4C36" w:rsidRPr="00A07157">
        <w:rPr>
          <w:color w:val="000000" w:themeColor="text1"/>
          <w:u w:color="000000" w:themeColor="text1"/>
        </w:rPr>
        <w:t xml:space="preserve">insurer has manifested to the insured its willingness to renew or to renew with a reduction in coverage by actually issuing or offering to the insured to issue a renewal policy, certificate, or </w:t>
      </w:r>
      <w:r w:rsidR="007C4C36" w:rsidRPr="00A07157">
        <w:rPr>
          <w:color w:val="000000" w:themeColor="text1"/>
          <w:u w:color="000000" w:themeColor="text1"/>
        </w:rPr>
        <w:lastRenderedPageBreak/>
        <w:t>other evidence of renewal, or has manifested such intention to the insured by any other means</w:t>
      </w:r>
      <w:r w:rsidR="007C4C36" w:rsidRPr="00A07157">
        <w:rPr>
          <w:color w:val="000000" w:themeColor="text1"/>
          <w:u w:val="single" w:color="000000" w:themeColor="text1"/>
        </w:rPr>
        <w:t>;</w:t>
      </w:r>
      <w:r w:rsidR="007C4C36" w:rsidRPr="00A07157">
        <w:rPr>
          <w:color w:val="000000" w:themeColor="text1"/>
          <w:u w:color="000000" w:themeColor="text1"/>
        </w:rPr>
        <w:t xml:space="preserve"> provided</w:t>
      </w:r>
      <w:r w:rsidR="007C4C36" w:rsidRPr="00A07157">
        <w:rPr>
          <w:color w:val="000000" w:themeColor="text1"/>
          <w:u w:val="single" w:color="000000" w:themeColor="text1"/>
        </w:rPr>
        <w:t>, however</w:t>
      </w:r>
      <w:r w:rsidR="007C4C36" w:rsidRPr="00A07157">
        <w:rPr>
          <w:color w:val="000000" w:themeColor="text1"/>
          <w:u w:color="000000" w:themeColor="text1"/>
        </w:rPr>
        <w:t xml:space="preserve"> that in the case of a reduction in coverage, the insurer provides notice of a reduction in coverage to the named insured in a separate document entitled the </w:t>
      </w:r>
      <w:r w:rsidR="00A735B9" w:rsidRPr="00A735B9">
        <w:rPr>
          <w:color w:val="000000" w:themeColor="text1"/>
          <w:u w:color="000000" w:themeColor="text1"/>
        </w:rPr>
        <w:t>‘</w:t>
      </w:r>
      <w:r w:rsidR="007C4C36" w:rsidRPr="00A07157">
        <w:rPr>
          <w:color w:val="000000" w:themeColor="text1"/>
          <w:u w:color="000000" w:themeColor="text1"/>
        </w:rPr>
        <w:t>Notice of Reduction in Coverage</w:t>
      </w:r>
      <w:r w:rsidR="00A735B9" w:rsidRPr="00A735B9">
        <w:rPr>
          <w:color w:val="000000" w:themeColor="text1"/>
          <w:u w:color="000000" w:themeColor="text1"/>
        </w:rPr>
        <w:t>’</w:t>
      </w:r>
      <w:r w:rsidR="007C4C36" w:rsidRPr="00A07157">
        <w:rPr>
          <w:color w:val="000000" w:themeColor="text1"/>
          <w:u w:color="000000" w:themeColor="text1"/>
        </w:rPr>
        <w:t xml:space="preserve"> no less than fifteen days prior to the effective date of the renewal that includes the proposed reduction in coverage. This notice must:</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555D0">
        <w:rPr>
          <w:color w:val="000000" w:themeColor="text1"/>
          <w:u w:color="000000" w:themeColor="text1"/>
        </w:rPr>
        <w:tab/>
      </w:r>
      <w:r w:rsidRPr="00A07157">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A07157">
        <w:rPr>
          <w:color w:val="000000" w:themeColor="text1"/>
          <w:u w:color="000000" w:themeColor="text1"/>
        </w:rPr>
        <w:t>inform the insured of the reduction or elimination by the coverage section in the renewal policy or certificate; and</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555D0">
        <w:rPr>
          <w:color w:val="000000" w:themeColor="text1"/>
          <w:u w:color="000000" w:themeColor="text1"/>
        </w:rPr>
        <w:tab/>
      </w:r>
      <w:r w:rsidRPr="00A07157">
        <w:rPr>
          <w:color w:val="000000" w:themeColor="text1"/>
          <w:u w:color="000000" w:themeColor="text1"/>
        </w:rPr>
        <w:t>(ii)</w:t>
      </w:r>
      <w:r>
        <w:rPr>
          <w:color w:val="000000" w:themeColor="text1"/>
          <w:u w:color="000000" w:themeColor="text1"/>
        </w:rPr>
        <w:tab/>
      </w:r>
      <w:r w:rsidRPr="00A07157">
        <w:rPr>
          <w:color w:val="000000" w:themeColor="text1"/>
          <w:u w:color="000000" w:themeColor="text1"/>
        </w:rPr>
        <w:t xml:space="preserve">provide that it is a notice of coverage changes. </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157">
        <w:rPr>
          <w:color w:val="000000" w:themeColor="text1"/>
          <w:u w:color="000000" w:themeColor="text1"/>
        </w:rPr>
        <w:t>The Notice of Reduction in Coverage does not amend, extend, or alter coverage provided in a policy. An insurer</w:t>
      </w:r>
      <w:r w:rsidR="00A735B9" w:rsidRPr="00A735B9">
        <w:rPr>
          <w:color w:val="000000" w:themeColor="text1"/>
          <w:u w:color="000000" w:themeColor="text1"/>
        </w:rPr>
        <w:t>’</w:t>
      </w:r>
      <w:r w:rsidRPr="00A07157">
        <w:rPr>
          <w:color w:val="000000" w:themeColor="text1"/>
          <w:u w:color="000000" w:themeColor="text1"/>
        </w:rPr>
        <w:t>s Notice of Reduction in Coverage must be provided to the director or his designee upon request when investigating a consumer complaint or when otherwise requested. The director or his designee may direct the insurer to provide the renewal without the reduction in coverage if the insurer fails to meet the requirements of this section. The director or his designee may issue guidance to an insurer or to the industry regarding the form and contents of the Notice of Reduction in Coverage in response to consumer inquiries or complaints;</w:t>
      </w:r>
    </w:p>
    <w:p w:rsidR="007C4C36" w:rsidRPr="00A07157" w:rsidRDefault="00F85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55D0">
        <w:rPr>
          <w:color w:val="000000" w:themeColor="text1"/>
          <w:u w:color="000000" w:themeColor="text1"/>
        </w:rPr>
        <w:tab/>
      </w:r>
      <w:r w:rsidR="007C4C36" w:rsidRPr="00A07157">
        <w:rPr>
          <w:color w:val="000000" w:themeColor="text1"/>
          <w:u w:color="000000" w:themeColor="text1"/>
        </w:rPr>
        <w:t>(2)</w:t>
      </w:r>
      <w:r>
        <w:rPr>
          <w:color w:val="000000" w:themeColor="text1"/>
          <w:u w:color="000000" w:themeColor="text1"/>
        </w:rPr>
        <w:tab/>
      </w:r>
      <w:r w:rsidR="007C4C36" w:rsidRPr="00A07157">
        <w:rPr>
          <w:color w:val="000000" w:themeColor="text1"/>
          <w:u w:color="000000" w:themeColor="text1"/>
        </w:rPr>
        <w:t>named insured has demonstrated by some overt action to the insurer or its agent that he expressly intends that the policy be canceled or that it not be renewed.”</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07157">
        <w:rPr>
          <w:color w:val="000000" w:themeColor="text1"/>
          <w:u w:color="000000" w:themeColor="text1"/>
        </w:rPr>
        <w:t>3.</w:t>
      </w:r>
      <w:r>
        <w:rPr>
          <w:color w:val="000000" w:themeColor="text1"/>
          <w:u w:color="000000" w:themeColor="text1"/>
        </w:rPr>
        <w:tab/>
      </w:r>
      <w:r w:rsidRPr="00A07157">
        <w:rPr>
          <w:color w:val="000000" w:themeColor="text1"/>
          <w:u w:color="000000" w:themeColor="text1"/>
        </w:rPr>
        <w:t>This act takes effect upon approval by the Governor.</w:t>
      </w:r>
    </w:p>
    <w:p w:rsidR="00AC7EBE" w:rsidRDefault="00A735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6FEF" w:rsidRDefault="00EC6FEF" w:rsidP="00EC6FEF">
      <w:pPr>
        <w:suppressAutoHyphens/>
      </w:pPr>
    </w:p>
    <w:sectPr w:rsidR="00EC6FEF" w:rsidSect="00EC6F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4C8" w:rsidRDefault="00CA44C8" w:rsidP="009F0C77">
      <w:r>
        <w:separator/>
      </w:r>
    </w:p>
  </w:endnote>
  <w:endnote w:type="continuationSeparator" w:id="0">
    <w:p w:rsidR="00CA44C8" w:rsidRDefault="00CA44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DE2CAE-2313-4123-ABE9-6F2C43760897}"/>
    <w:embedBold r:id="rId2" w:fontKey="{02259654-B57F-44B0-BB78-0D49BFB067EE}"/>
  </w:font>
  <w:font w:name="Calibri">
    <w:panose1 w:val="020F0502020204030204"/>
    <w:charset w:val="00"/>
    <w:family w:val="swiss"/>
    <w:pitch w:val="variable"/>
    <w:sig w:usb0="E0002EFF" w:usb1="C000247B" w:usb2="00000009" w:usb3="00000000" w:csb0="000001FF" w:csb1="00000000"/>
    <w:embedRegular r:id="rId3" w:fontKey="{3E622967-53F2-4410-BE15-DDD1DE7FB38F}"/>
  </w:font>
  <w:font w:name="Cambria">
    <w:panose1 w:val="02040503050406030204"/>
    <w:charset w:val="00"/>
    <w:family w:val="roman"/>
    <w:pitch w:val="variable"/>
    <w:sig w:usb0="E00006FF" w:usb1="420024FF" w:usb2="02000000" w:usb3="00000000" w:csb0="0000019F" w:csb1="00000000"/>
    <w:embedRegular r:id="rId4" w:fontKey="{FC690688-1575-4D83-A8A3-247BBEF7AD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EBE" w:rsidRPr="00EC6FEF" w:rsidRDefault="00EC6FEF" w:rsidP="00EC6FEF">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4C8" w:rsidRDefault="00CA44C8" w:rsidP="009F0C77">
      <w:r>
        <w:separator/>
      </w:r>
    </w:p>
  </w:footnote>
  <w:footnote w:type="continuationSeparator" w:id="0">
    <w:p w:rsidR="00CA44C8" w:rsidRDefault="00CA44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1PH21"/>
    <w:docVar w:name="CoverBillType" w:val="b"/>
    <w:docVar w:name="DocPath" w:val="L:\Council\bills\JN\3291PH21.DOCX"/>
    <w:docVar w:name="dvBillNumber" w:val="3587"/>
    <w:docVar w:name="dvBillNumberPrefix" w:val="H. "/>
    <w:docVar w:name="dvOriginalBody" w:val="House"/>
    <w:docVar w:name="dvSteno" w:val="JN"/>
    <w:docVar w:name="NameofBody" w:val="h"/>
    <w:docVar w:name="vGroup2" w:val="Council"/>
  </w:docVars>
  <w:rsids>
    <w:rsidRoot w:val="00CA44C8"/>
    <w:rsid w:val="00011869"/>
    <w:rsid w:val="00015CD6"/>
    <w:rsid w:val="000E0100"/>
    <w:rsid w:val="000E1785"/>
    <w:rsid w:val="000F40FA"/>
    <w:rsid w:val="001035F1"/>
    <w:rsid w:val="0010776B"/>
    <w:rsid w:val="00133E66"/>
    <w:rsid w:val="001435A3"/>
    <w:rsid w:val="00146ED3"/>
    <w:rsid w:val="00151044"/>
    <w:rsid w:val="0018566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525"/>
    <w:rsid w:val="003E3541"/>
    <w:rsid w:val="003E5288"/>
    <w:rsid w:val="003F6D79"/>
    <w:rsid w:val="0041760A"/>
    <w:rsid w:val="00417C01"/>
    <w:rsid w:val="004403BD"/>
    <w:rsid w:val="00461441"/>
    <w:rsid w:val="00471E7A"/>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3C37"/>
    <w:rsid w:val="007A70AE"/>
    <w:rsid w:val="007C4C36"/>
    <w:rsid w:val="008362E8"/>
    <w:rsid w:val="0085786E"/>
    <w:rsid w:val="00890F2D"/>
    <w:rsid w:val="008A1768"/>
    <w:rsid w:val="008A489F"/>
    <w:rsid w:val="008F0F33"/>
    <w:rsid w:val="008F4429"/>
    <w:rsid w:val="0094021A"/>
    <w:rsid w:val="009B44AF"/>
    <w:rsid w:val="009C6A0B"/>
    <w:rsid w:val="009F0C77"/>
    <w:rsid w:val="009F4DD1"/>
    <w:rsid w:val="00A02543"/>
    <w:rsid w:val="00A41684"/>
    <w:rsid w:val="00A42287"/>
    <w:rsid w:val="00A555D0"/>
    <w:rsid w:val="00A64E80"/>
    <w:rsid w:val="00A72BCD"/>
    <w:rsid w:val="00A735B9"/>
    <w:rsid w:val="00A741D9"/>
    <w:rsid w:val="00A833AB"/>
    <w:rsid w:val="00A9741D"/>
    <w:rsid w:val="00AC34A2"/>
    <w:rsid w:val="00AC7EBE"/>
    <w:rsid w:val="00AD1C9A"/>
    <w:rsid w:val="00AD4B17"/>
    <w:rsid w:val="00B23725"/>
    <w:rsid w:val="00B412D4"/>
    <w:rsid w:val="00B64FFF"/>
    <w:rsid w:val="00BE3C22"/>
    <w:rsid w:val="00C0345E"/>
    <w:rsid w:val="00C21ABE"/>
    <w:rsid w:val="00C31C95"/>
    <w:rsid w:val="00C31E99"/>
    <w:rsid w:val="00C3483A"/>
    <w:rsid w:val="00C74E9D"/>
    <w:rsid w:val="00C81ED9"/>
    <w:rsid w:val="00C826DD"/>
    <w:rsid w:val="00C82FD3"/>
    <w:rsid w:val="00C92819"/>
    <w:rsid w:val="00CA0125"/>
    <w:rsid w:val="00CA44C8"/>
    <w:rsid w:val="00CC6B7B"/>
    <w:rsid w:val="00CD2089"/>
    <w:rsid w:val="00D73A67"/>
    <w:rsid w:val="00D970A9"/>
    <w:rsid w:val="00DF3845"/>
    <w:rsid w:val="00E37E37"/>
    <w:rsid w:val="00E41911"/>
    <w:rsid w:val="00E44B57"/>
    <w:rsid w:val="00E92EEF"/>
    <w:rsid w:val="00EC6FEF"/>
    <w:rsid w:val="00EF2368"/>
    <w:rsid w:val="00F24442"/>
    <w:rsid w:val="00F50AE3"/>
    <w:rsid w:val="00F655B7"/>
    <w:rsid w:val="00F656BA"/>
    <w:rsid w:val="00F67CF1"/>
    <w:rsid w:val="00F728AA"/>
    <w:rsid w:val="00F840F0"/>
    <w:rsid w:val="00F85C3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FB571-8EDF-4DB8-B098-903E19C1D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93CBC-4555-426C-8151-4B2048C24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2430</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3587 Text of Previous Version (Jan. 12, 2021) - South Carolina Legislature Online</dc:title>
  <dc:creator>Julie Newboult</dc:creator>
  <cp:lastModifiedBy>S Wilson</cp:lastModifiedBy>
  <cp:revision>2</cp:revision>
  <dcterms:created xsi:type="dcterms:W3CDTF">2021-01-12T18:44:00Z</dcterms:created>
  <dcterms:modified xsi:type="dcterms:W3CDTF">2021-01-12T18:44:00Z</dcterms:modified>
</cp:coreProperties>
</file>