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876" w:rsidRDefault="00521C6B"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7876" w:rsidRDefault="00521C6B"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6A7876">
        <w:t>, 2021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right" w:pos="5933"/>
        </w:tabs>
        <w:suppressAutoHyphens/>
      </w:pPr>
      <w:r>
        <w:tab/>
      </w:r>
      <w:r>
        <w:rPr>
          <w:b/>
          <w:sz w:val="36"/>
        </w:rPr>
        <w:t>H. 3591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12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6B8F">
        <w:t>Reps. Allison</w:t>
      </w:r>
      <w:r w:rsidR="0012300A">
        <w:t>,</w:t>
      </w:r>
      <w:r w:rsidRPr="006E6B8F">
        <w:t xml:space="preserve"> Lucas</w:t>
      </w:r>
      <w:r w:rsidR="0012300A">
        <w:t>, Erickson, Bradley and Kirby</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521C6B" w:rsidP="0012300A">
      <w:pPr>
        <w:tabs>
          <w:tab w:val="right" w:pos="5933"/>
        </w:tabs>
        <w:suppressAutoHyphens/>
      </w:pPr>
      <w:r>
        <w:t>S. Printed 4/29</w:t>
      </w:r>
      <w:r w:rsidR="006A7876">
        <w:t>/21--H.</w:t>
      </w:r>
      <w:r w:rsidR="0012300A">
        <w:tab/>
        <w:t>[SEC 5/3/21 1:12 PM]</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7876"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bookmarkEnd w:id="1"/>
    </w:p>
    <w:p w:rsidR="0010776B" w:rsidRDefault="00521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21C6B" w:rsidRDefault="00521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1.</w:t>
      </w:r>
      <w:r w:rsidRPr="00521C6B">
        <w:rPr>
          <w:rFonts w:eastAsia="Calibri"/>
          <w:szCs w:val="22"/>
          <w:u w:color="000000"/>
        </w:rPr>
        <w:tab/>
        <w:t>Chapter 26, Title 59 of the 1976 Code is amended by adding:</w:t>
      </w:r>
    </w:p>
    <w:p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“Section 59</w:t>
      </w:r>
      <w:r w:rsidRPr="00521C6B">
        <w:rPr>
          <w:rFonts w:eastAsia="Calibri"/>
          <w:szCs w:val="22"/>
          <w:u w:color="000000"/>
        </w:rPr>
        <w:noBreakHyphen/>
        <w:t>26</w:t>
      </w:r>
      <w:r w:rsidRPr="00521C6B">
        <w:rPr>
          <w:rFonts w:eastAsia="Calibri"/>
          <w:szCs w:val="22"/>
          <w:u w:color="000000"/>
        </w:rPr>
        <w:noBreakHyphen/>
        <w:t>35.</w:t>
      </w:r>
      <w:r w:rsidRPr="00521C6B">
        <w:rPr>
          <w:rFonts w:eastAsia="Calibri"/>
          <w:szCs w:val="22"/>
          <w:u w:color="000000"/>
        </w:rPr>
        <w:tab/>
        <w:t>(</w:t>
      </w:r>
      <w:bookmarkStart w:id="5" w:name="temp"/>
      <w:bookmarkEnd w:id="5"/>
      <w:r w:rsidRPr="00521C6B">
        <w:rPr>
          <w:rFonts w:eastAsia="Calibri"/>
          <w:szCs w:val="22"/>
          <w:u w:color="000000"/>
        </w:rPr>
        <w:t>A)</w:t>
      </w:r>
      <w:r w:rsidRPr="00521C6B">
        <w:rPr>
          <w:rFonts w:eastAsia="Calibri"/>
          <w:szCs w:val="22"/>
          <w:u w:color="000000"/>
        </w:rPr>
        <w:tab/>
        <w:t>The State Board of Education, with the assistance of the Department of Education, the South Carolina Commission on Higher Education, the Center for Research on Teacher Education (SC</w:t>
      </w:r>
      <w:r w:rsidRPr="00521C6B">
        <w:rPr>
          <w:rFonts w:eastAsia="Calibri"/>
          <w:szCs w:val="22"/>
          <w:u w:color="000000"/>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w:t>
      </w:r>
      <w:r w:rsidRPr="00521C6B">
        <w:rPr>
          <w:rFonts w:eastAsia="Calibri"/>
          <w:szCs w:val="22"/>
          <w:u w:color="000000"/>
        </w:rPr>
        <w:lastRenderedPageBreak/>
        <w:t>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 including, but not limited to, the following:</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number of undergraduate and graduate completers;</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placement and one, three, and five year retention rates by districts and regions of the State;</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performance</w:t>
      </w:r>
      <w:r w:rsidRPr="00521C6B">
        <w:rPr>
          <w:rFonts w:eastAsia="Calibri"/>
          <w:szCs w:val="22"/>
          <w:u w:color="000000"/>
        </w:rPr>
        <w:noBreakHyphen/>
        <w:t xml:space="preserve">based assessments of candidates; </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 xml:space="preserve">ability of program to recruit a strong, diverse cohort of candidates and prepare them to teach in the content areas of greatest need; </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(5)</w:t>
      </w:r>
      <w:r w:rsidRPr="00521C6B">
        <w:rPr>
          <w:rFonts w:eastAsia="Calibri"/>
          <w:szCs w:val="22"/>
          <w:u w:color="000000"/>
        </w:rPr>
        <w:tab/>
        <w:t>quality of clinical experiences, including access to qualified and trained mentors, time in the field, and opportunities to apply knowledge and skills in the clinical setting;</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521C6B">
        <w:rPr>
          <w:rFonts w:eastAsia="Calibri"/>
          <w:szCs w:val="22"/>
          <w:u w:color="000000"/>
        </w:rPr>
        <w:tab/>
      </w:r>
      <w:r w:rsidRPr="00521C6B">
        <w:rPr>
          <w:rFonts w:eastAsia="Calibri"/>
          <w:szCs w:val="22"/>
          <w:u w:color="000000"/>
        </w:rPr>
        <w:tab/>
        <w:t>(6)</w:t>
      </w:r>
      <w:r w:rsidRPr="00521C6B">
        <w:rPr>
          <w:rFonts w:eastAsia="Calibri"/>
          <w:szCs w:val="22"/>
          <w:u w:color="000000"/>
        </w:rPr>
        <w:tab/>
        <w:t>effectiveness of individuals who completed a provider’s program and are employed in a public school classroom.  The information must be differentiated by provider and, where applicable, across content areas; and</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 xml:space="preserve">(7) graduate and employer satisfaction. </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 Under consultation with the commission, SC</w:t>
      </w:r>
      <w:r w:rsidRPr="00521C6B">
        <w:rPr>
          <w:rFonts w:eastAsia="Calibri"/>
          <w:szCs w:val="22"/>
          <w:u w:color="000000"/>
        </w:rPr>
        <w:noBreakHyphen/>
        <w:t>TEACHER shall develop metrics and instrumentation to evaluate the working conditions of educators, extent and quality of mentoring available to new educators, and universal graduate and employer satisfaction surveys.</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The State Department of Education, each educator preparation program, and each school district shall report all data to SC</w:t>
      </w:r>
      <w:r w:rsidRPr="00521C6B">
        <w:rPr>
          <w:rFonts w:eastAsia="Calibri"/>
          <w:szCs w:val="22"/>
          <w:u w:color="000000"/>
        </w:rPr>
        <w:noBreakHyphen/>
        <w:t>TEACHER as requested by the State Board of Education to complete the evaluation.”</w:t>
      </w:r>
    </w:p>
    <w:p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2.</w:t>
      </w:r>
      <w:r w:rsidRPr="00521C6B">
        <w:rPr>
          <w:rFonts w:eastAsia="Calibri"/>
          <w:szCs w:val="22"/>
          <w:u w:color="000000"/>
        </w:rPr>
        <w:tab/>
        <w:t>Chapter 26, Title 59 of the 1976 Code is amended by adding:</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lastRenderedPageBreak/>
        <w:tab/>
        <w:t>“Section 59</w:t>
      </w:r>
      <w:r w:rsidRPr="00521C6B">
        <w:rPr>
          <w:rFonts w:eastAsia="Calibri"/>
          <w:szCs w:val="22"/>
          <w:u w:color="000000"/>
        </w:rPr>
        <w:noBreakHyphen/>
        <w:t>26</w:t>
      </w:r>
      <w:r w:rsidRPr="00521C6B">
        <w:rPr>
          <w:rFonts w:eastAsia="Calibri"/>
          <w:szCs w:val="22"/>
          <w:u w:color="000000"/>
        </w:rPr>
        <w:noBreakHyphen/>
        <w:t>120.</w:t>
      </w:r>
      <w:r w:rsidR="0012300A">
        <w:rPr>
          <w:rFonts w:eastAsia="Calibri"/>
          <w:szCs w:val="22"/>
          <w:u w:color="000000"/>
        </w:rPr>
        <w:t xml:space="preserve"> </w:t>
      </w:r>
      <w:r w:rsidRPr="00521C6B">
        <w:rPr>
          <w:rFonts w:eastAsia="Calibri"/>
          <w:szCs w:val="22"/>
          <w:u w:color="000000"/>
        </w:rPr>
        <w:t>(A)</w:t>
      </w:r>
      <w:r w:rsidRPr="00521C6B">
        <w:rPr>
          <w:rFonts w:eastAsia="Calibri"/>
          <w:szCs w:val="22"/>
          <w:u w:color="000000"/>
        </w:rPr>
        <w:tab/>
        <w:t>The State Department of Education annually before December first shall provide each college of education and state</w:t>
      </w:r>
      <w:r w:rsidRPr="00521C6B">
        <w:rPr>
          <w:rFonts w:eastAsia="Calibri"/>
          <w:szCs w:val="22"/>
          <w:u w:color="000000"/>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linking teacher candidates from each program with valid, reliable, nationally normed performance assessments that are data and evidence</w:t>
      </w:r>
      <w:r w:rsidRPr="00521C6B">
        <w:rPr>
          <w:rFonts w:eastAsia="Calibri"/>
          <w:szCs w:val="22"/>
          <w:u w:color="000000"/>
        </w:rPr>
        <w:noBreakHyphen/>
        <w:t>based and can assess teaching effectiveness</w:t>
      </w:r>
      <w:r w:rsidR="0012300A">
        <w:rPr>
          <w:rFonts w:eastAsia="Calibri"/>
          <w:szCs w:val="22"/>
          <w:u w:color="000000"/>
        </w:rPr>
        <w:t>;</w:t>
      </w:r>
      <w:r w:rsidRPr="00521C6B">
        <w:rPr>
          <w:rFonts w:eastAsia="Calibri"/>
          <w:szCs w:val="22"/>
          <w:u w:color="000000"/>
        </w:rPr>
        <w:tab/>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results of ADEPT Evaluation by individual educator graduate;</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records of employee certification by individual educator graduate; and</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other information requested by the programs designed to enhance the ability of the college of education or educator preparation program to provide improved education services.</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w:t>
      </w:r>
      <w:r w:rsidRPr="00521C6B">
        <w:rPr>
          <w:rFonts w:eastAsia="Calibri"/>
          <w:szCs w:val="22"/>
          <w:u w:color="000000"/>
        </w:rPr>
        <w:tab/>
        <w:t>A college of education or educator preparation program receiving individualized information regarding its graduates pursuant to subsection (A) shall:</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develop and use a unique system for identifying each individual educator graduate for whom it receives such individualized information;</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strictly maintain the confidentiality of all information that can be used to identify an individual educator graduate for whom it receives such information; and</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not share such information with a third party without the express written consent of the educator.</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Information provided to a college of education or educator preparation program pursuant to this section is not subject to the provisions of the Freedom of Information Act.”</w:t>
      </w:r>
    </w:p>
    <w:p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51008" w:rsidRPr="00DA2053"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C6B">
        <w:rPr>
          <w:rFonts w:eastAsia="Calibri"/>
          <w:szCs w:val="22"/>
          <w:u w:color="000000"/>
        </w:rPr>
        <w:t>SECTION</w:t>
      </w:r>
      <w:r w:rsidRPr="00521C6B">
        <w:rPr>
          <w:rFonts w:eastAsia="Calibri"/>
          <w:szCs w:val="22"/>
          <w:u w:color="000000"/>
        </w:rPr>
        <w:tab/>
        <w:t>3.</w:t>
      </w:r>
      <w:r w:rsidRPr="00521C6B">
        <w:rPr>
          <w:rFonts w:eastAsia="Calibri"/>
          <w:szCs w:val="22"/>
          <w:u w:color="000000"/>
        </w:rPr>
        <w:tab/>
        <w:t>This act takes effect upon approval by the Governor</w:t>
      </w:r>
      <w:r w:rsidR="00D51008" w:rsidRPr="00DA2053">
        <w:rPr>
          <w:color w:val="000000" w:themeColor="text1"/>
          <w:u w:color="000000" w:themeColor="text1"/>
        </w:rPr>
        <w:t xml:space="preserve">. </w:t>
      </w:r>
    </w:p>
    <w:p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70D" w:rsidRDefault="0039670D" w:rsidP="0039670D">
      <w:pPr>
        <w:suppressAutoHyphens/>
      </w:pPr>
    </w:p>
    <w:sectPr w:rsidR="0039670D"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AF" w:rsidRDefault="00D645AF" w:rsidP="009F0C77">
      <w:r>
        <w:separator/>
      </w:r>
    </w:p>
  </w:endnote>
  <w:endnote w:type="continuationSeparator" w:id="0">
    <w:p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796432-2D7F-4B5D-9C41-023D2C737D10}"/>
    <w:embedBold r:id="rId2" w:fontKey="{4A48D9CA-C2F4-4AFF-94C2-71366775CC93}"/>
    <w:embedItalic r:id="rId3" w:fontKey="{86B68E64-B140-4E65-8509-61F500AC2500}"/>
  </w:font>
  <w:font w:name="Calibri">
    <w:panose1 w:val="020F0502020204030204"/>
    <w:charset w:val="00"/>
    <w:family w:val="swiss"/>
    <w:pitch w:val="variable"/>
    <w:sig w:usb0="E0002EFF" w:usb1="C000247B" w:usb2="00000009" w:usb3="00000000" w:csb0="000001FF" w:csb1="00000000"/>
    <w:embedRegular r:id="rId4" w:fontKey="{11527342-284C-427D-89D1-3EFF4150577F}"/>
    <w:embedItalic r:id="rId5" w:fontKey="{DD287223-3D0F-4AA4-A605-8B305086756F}"/>
  </w:font>
  <w:font w:name="Segoe UI">
    <w:panose1 w:val="020B0502040204020203"/>
    <w:charset w:val="00"/>
    <w:family w:val="swiss"/>
    <w:pitch w:val="variable"/>
    <w:sig w:usb0="E4002EFF" w:usb1="C000E47F" w:usb2="00000009" w:usb3="00000000" w:csb0="000001FF" w:csb1="00000000"/>
    <w:embedRegular r:id="rId6" w:fontKey="{51FAB679-BECA-467E-AA30-606AA3FFD151}"/>
  </w:font>
  <w:font w:name="Cambria">
    <w:panose1 w:val="02040503050406030204"/>
    <w:charset w:val="00"/>
    <w:family w:val="roman"/>
    <w:pitch w:val="variable"/>
    <w:sig w:usb0="E00006FF" w:usb1="420024FF" w:usb2="02000000" w:usb3="00000000" w:csb0="0000019F" w:csb1="00000000"/>
    <w:embedRegular r:id="rId7" w:fontKey="{D7EF4F7D-76B6-4F28-9255-35A5153782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39670D">
      <w:rPr>
        <w:noProof/>
      </w:rPr>
      <w:t>1</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3967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AF" w:rsidRDefault="00D645AF" w:rsidP="009F0C77">
      <w:r>
        <w:separator/>
      </w:r>
    </w:p>
  </w:footnote>
  <w:footnote w:type="continuationSeparator" w:id="0">
    <w:p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E0100"/>
    <w:rsid w:val="000E1785"/>
    <w:rsid w:val="000F40FA"/>
    <w:rsid w:val="001035F1"/>
    <w:rsid w:val="0010776B"/>
    <w:rsid w:val="0012300A"/>
    <w:rsid w:val="001231E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9670D"/>
    <w:rsid w:val="003C4DAB"/>
    <w:rsid w:val="003D01E8"/>
    <w:rsid w:val="003E5288"/>
    <w:rsid w:val="003F6D79"/>
    <w:rsid w:val="0041760A"/>
    <w:rsid w:val="00417C01"/>
    <w:rsid w:val="004403BD"/>
    <w:rsid w:val="00461441"/>
    <w:rsid w:val="004809EE"/>
    <w:rsid w:val="004E7D54"/>
    <w:rsid w:val="00510366"/>
    <w:rsid w:val="00521C6B"/>
    <w:rsid w:val="0052449B"/>
    <w:rsid w:val="005273C6"/>
    <w:rsid w:val="00530A69"/>
    <w:rsid w:val="005452D4"/>
    <w:rsid w:val="00545593"/>
    <w:rsid w:val="00556EBF"/>
    <w:rsid w:val="00577C6C"/>
    <w:rsid w:val="005A62FE"/>
    <w:rsid w:val="005C2FE2"/>
    <w:rsid w:val="005E2BC9"/>
    <w:rsid w:val="00605102"/>
    <w:rsid w:val="0061250E"/>
    <w:rsid w:val="006215AA"/>
    <w:rsid w:val="006913C9"/>
    <w:rsid w:val="0069470D"/>
    <w:rsid w:val="006A7876"/>
    <w:rsid w:val="006D1A33"/>
    <w:rsid w:val="006D58AA"/>
    <w:rsid w:val="00734F00"/>
    <w:rsid w:val="00736959"/>
    <w:rsid w:val="0074003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E3C22"/>
    <w:rsid w:val="00C0345E"/>
    <w:rsid w:val="00C21ABE"/>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9E0C2"/>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64C5C-9336-4CD9-A215-D8B7F8447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4664</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(May 3, 2021) - South Carolina Legislature Online</dc:title>
  <dc:creator>Rebecca Turner</dc:creator>
  <cp:lastModifiedBy>Danny Crook</cp:lastModifiedBy>
  <cp:revision>2</cp:revision>
  <cp:lastPrinted>2021-04-22T18:38:00Z</cp:lastPrinted>
  <dcterms:created xsi:type="dcterms:W3CDTF">2021-05-03T17:14:00Z</dcterms:created>
  <dcterms:modified xsi:type="dcterms:W3CDTF">2021-05-03T17:14:00Z</dcterms:modified>
</cp:coreProperties>
</file>