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71BF"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8B71BF" w:rsidRPr="00EF6ECB"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8B71BF" w:rsidRDefault="008B71BF" w:rsidP="008B71BF">
      <w:pPr>
        <w:tabs>
          <w:tab w:val="right" w:pos="5933"/>
        </w:tabs>
        <w:suppressAutoHyphens/>
      </w:pPr>
      <w:r>
        <w:tab/>
      </w:r>
      <w:r>
        <w:rPr>
          <w:b/>
          <w:sz w:val="36"/>
        </w:rPr>
        <w:t>H. 3899</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Huggins, B. Newton, Fry and McGarry</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B71BF" w:rsidP="00414362">
      <w:pPr>
        <w:tabs>
          <w:tab w:val="right" w:pos="5933"/>
        </w:tabs>
        <w:suppressAutoHyphens/>
      </w:pPr>
      <w:r>
        <w:t>S. Printed 4/7/21--H.</w:t>
      </w:r>
      <w:r w:rsidR="000E051C">
        <w:tab/>
        <w:t>[SEC 4/8/21 2:40</w:t>
      </w:r>
      <w:r w:rsidR="00414362">
        <w:t xml:space="preserve"> PM]</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2021.</w:t>
      </w:r>
    </w:p>
    <w:p w:rsidR="008B71BF" w:rsidRPr="008B71BF"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1"/>
    </w:p>
    <w:p w:rsidR="0010776B" w:rsidRDefault="00F9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97289" w:rsidRDefault="00F9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SECTION</w:t>
      </w:r>
      <w:r w:rsidRPr="00825BEC">
        <w:rPr>
          <w:u w:color="000000"/>
        </w:rPr>
        <w:tab/>
        <w:t>1.</w:t>
      </w:r>
      <w:r w:rsidRPr="00825BEC">
        <w:rPr>
          <w:u w:color="000000"/>
        </w:rPr>
        <w:tab/>
        <w:t>Section 12</w:t>
      </w:r>
      <w:r w:rsidRPr="00825BEC">
        <w:rPr>
          <w:u w:color="000000"/>
        </w:rPr>
        <w:noBreakHyphen/>
        <w:t>6</w:t>
      </w:r>
      <w:r w:rsidRPr="00825BEC">
        <w:rPr>
          <w:u w:color="000000"/>
        </w:rPr>
        <w:noBreakHyphen/>
        <w:t>3790(B) of the 1976 Code, as added by Act 247 of 2018, is amended to read:</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u w:color="000000"/>
        </w:rPr>
        <w:tab/>
        <w:t>“</w:t>
      </w:r>
      <w:r w:rsidRPr="00825BEC">
        <w:rPr>
          <w:lang w:val="en-PH"/>
        </w:rPr>
        <w:t>(B)(1)</w:t>
      </w:r>
      <w:r w:rsidRPr="00825BEC">
        <w:rPr>
          <w:lang w:val="en-PH"/>
        </w:rPr>
        <w:tab/>
        <w:t>There is created the ‘Educational Credit for Exceptional Needs Children’s Fund’ that is separate and distinct from the state general fund.</w:t>
      </w:r>
      <w:r w:rsidR="00414362" w:rsidRPr="00414362">
        <w:rPr>
          <w:lang w:val="en-PH"/>
        </w:rPr>
        <w:t xml:space="preserve">  </w:t>
      </w:r>
      <w:r w:rsidRPr="00825BEC">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lastRenderedPageBreak/>
        <w:tab/>
      </w:r>
      <w:r w:rsidRPr="00825BEC">
        <w:rPr>
          <w:lang w:val="en-PH"/>
        </w:rPr>
        <w:tab/>
        <w:t>(2)</w:t>
      </w:r>
      <w:r w:rsidRPr="00825BEC">
        <w:rPr>
          <w:lang w:val="en-PH"/>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tab/>
      </w:r>
      <w:r w:rsidRPr="00825BEC">
        <w:rPr>
          <w:lang w:val="en-PH"/>
        </w:rPr>
        <w:tab/>
        <w:t>(3)</w:t>
      </w:r>
      <w:r w:rsidRPr="00825BEC">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825BEC">
        <w:rPr>
          <w:strike/>
          <w:lang w:val="en-PH"/>
        </w:rPr>
        <w:t>, along with the director of the department,</w:t>
      </w:r>
      <w:r w:rsidRPr="00825BEC">
        <w:rPr>
          <w:lang w:val="en-PH"/>
        </w:rPr>
        <w:t xml:space="preserve"> shall designate an executive director of the public charity.</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ab/>
      </w:r>
      <w:r w:rsidRPr="00825BEC">
        <w:rPr>
          <w:u w:color="000000"/>
        </w:rPr>
        <w:tab/>
        <w:t>(4)</w:t>
      </w:r>
      <w:r w:rsidRPr="00825BEC">
        <w:rPr>
          <w:u w:color="000000"/>
        </w:rPr>
        <w:tab/>
      </w:r>
      <w:r w:rsidRPr="00825BEC">
        <w:rPr>
          <w:strike/>
          <w:u w:color="000000"/>
        </w:rPr>
        <w:t xml:space="preserve">In concert with </w:t>
      </w:r>
      <w:r w:rsidRPr="00825BEC">
        <w:rPr>
          <w:u w:color="000000"/>
        </w:rPr>
        <w:t>The public charity directors</w:t>
      </w:r>
      <w:r w:rsidRPr="00825BEC">
        <w:rPr>
          <w:strike/>
          <w:u w:color="000000"/>
        </w:rPr>
        <w:t>, the department</w:t>
      </w:r>
      <w:r w:rsidRPr="00825BEC">
        <w:rPr>
          <w:u w:color="000000"/>
        </w:rPr>
        <w:t xml:space="preserve"> shall administer the public charity including, but not limited to, the keeping of records, the management of accounts, and disbursement of the grants awarded pursuant to this section. The public charity may expend up to </w:t>
      </w:r>
      <w:r w:rsidRPr="00825BEC">
        <w:rPr>
          <w:strike/>
          <w:u w:color="000000"/>
        </w:rPr>
        <w:t>two</w:t>
      </w:r>
      <w:r w:rsidRPr="00825BEC">
        <w:rPr>
          <w:u w:color="000000"/>
        </w:rPr>
        <w:t xml:space="preserve"> </w:t>
      </w:r>
      <w:r w:rsidRPr="00825BEC">
        <w:rPr>
          <w:u w:val="single" w:color="000000"/>
        </w:rPr>
        <w:t>five</w:t>
      </w:r>
      <w:r w:rsidRPr="00825BEC">
        <w:rPr>
          <w:u w:color="000000"/>
        </w:rPr>
        <w:t xml:space="preserve"> percent of the fund for administration and related costs. The </w:t>
      </w:r>
      <w:r w:rsidRPr="00825BEC">
        <w:rPr>
          <w:strike/>
          <w:u w:color="000000"/>
        </w:rPr>
        <w:t>department and the</w:t>
      </w:r>
      <w:r w:rsidRPr="00825BEC">
        <w:rPr>
          <w:u w:color="000000"/>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t>(5)</w:t>
      </w:r>
      <w:r w:rsidRPr="00825BEC">
        <w:rPr>
          <w:lang w:val="en-PH"/>
        </w:rPr>
        <w:tab/>
        <w:t>By January fifteenth of each year, the department shall report to the Chairman of the Senate Finance Committee, the Chairman of the House Ways and Means Committee, and the Governor: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(a)</w:t>
      </w:r>
      <w:r w:rsidRPr="00825BEC">
        <w:rPr>
          <w:lang w:val="en-PH"/>
        </w:rPr>
        <w:tab/>
        <w:t>the number and total amount of grants issued to eligible schools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(b)</w:t>
      </w:r>
      <w:r w:rsidRPr="00825BEC">
        <w:rPr>
          <w:lang w:val="en-PH"/>
        </w:rPr>
        <w:tab/>
        <w:t>the identity of the school and the amount of the grant for each grant issued to an eligible school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(c)</w:t>
      </w:r>
      <w:r w:rsidRPr="00825BEC">
        <w:rPr>
          <w:lang w:val="en-PH"/>
        </w:rPr>
        <w:tab/>
        <w:t>an itemized and detailed explanation of fees or other revenues obtained from or on behalf of an eligible school;</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(d)</w:t>
      </w:r>
      <w:r w:rsidRPr="00825BEC">
        <w:rPr>
          <w:lang w:val="en-PH"/>
        </w:rPr>
        <w:tab/>
        <w:t>a copy of a compilation, review, or audit of the fund’s financial statements, conducted by a certified public accounting firm; and</w:t>
      </w:r>
    </w:p>
    <w:p w:rsidR="006F4EA5" w:rsidRPr="002A6401"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BEC">
        <w:rPr>
          <w:lang w:val="en-PH"/>
        </w:rPr>
        <w:lastRenderedPageBreak/>
        <w:tab/>
      </w:r>
      <w:r w:rsidRPr="00825BEC">
        <w:rPr>
          <w:lang w:val="en-PH"/>
        </w:rPr>
        <w:tab/>
      </w:r>
      <w:r w:rsidRPr="00825BEC">
        <w:rPr>
          <w:lang w:val="en-PH"/>
        </w:rPr>
        <w:tab/>
        <w:t>(e)</w:t>
      </w:r>
      <w:r w:rsidRPr="00825BEC">
        <w:rPr>
          <w:lang w:val="en-PH"/>
        </w:rPr>
        <w:tab/>
        <w:t>the criteria and eligibility requirements for scholarship awards.</w:t>
      </w:r>
      <w:r w:rsidRPr="00825BEC">
        <w:rPr>
          <w:u w:color="000000"/>
        </w:rPr>
        <w:t>”</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414362"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4EA5" w:rsidRPr="00F41C57">
        <w:rPr>
          <w:color w:val="000000" w:themeColor="text1"/>
          <w:u w:color="000000" w:themeColor="text1"/>
        </w:rPr>
        <w:t>“(b)</w:t>
      </w:r>
      <w:r w:rsidR="006F4EA5" w:rsidRPr="00F41C57">
        <w:rPr>
          <w:color w:val="000000" w:themeColor="text1"/>
          <w:u w:color="000000" w:themeColor="text1"/>
        </w:rPr>
        <w:tab/>
        <w:t xml:space="preserve">A taxpayer may not claim more than </w:t>
      </w:r>
      <w:r w:rsidR="006F4EA5" w:rsidRPr="00CC4A89">
        <w:rPr>
          <w:strike/>
          <w:color w:val="000000" w:themeColor="text1"/>
          <w:u w:color="000000" w:themeColor="text1"/>
        </w:rPr>
        <w:t>sixty</w:t>
      </w:r>
      <w:r w:rsidR="006F4EA5" w:rsidRPr="00F41C57">
        <w:rPr>
          <w:color w:val="000000" w:themeColor="text1"/>
          <w:u w:color="000000" w:themeColor="text1"/>
        </w:rPr>
        <w:t xml:space="preserve"> </w:t>
      </w:r>
      <w:r w:rsidR="006F4EA5">
        <w:rPr>
          <w:color w:val="000000" w:themeColor="text1"/>
          <w:u w:val="single"/>
        </w:rPr>
        <w:t>seventy</w:t>
      </w:r>
      <w:r w:rsidR="00E834B4">
        <w:rPr>
          <w:color w:val="000000" w:themeColor="text1"/>
          <w:u w:val="single"/>
        </w:rPr>
        <w:noBreakHyphen/>
      </w:r>
      <w:r w:rsidR="006F4EA5">
        <w:rPr>
          <w:color w:val="000000" w:themeColor="text1"/>
          <w:u w:val="single"/>
        </w:rPr>
        <w:t>five</w:t>
      </w:r>
      <w:r w:rsidR="006F4EA5">
        <w:rPr>
          <w:color w:val="000000" w:themeColor="text1"/>
          <w:u w:color="000000" w:themeColor="text1"/>
        </w:rPr>
        <w:t xml:space="preserve"> </w:t>
      </w:r>
      <w:r w:rsidR="006F4EA5"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006F4EA5" w:rsidRPr="00F41C57">
        <w:rPr>
          <w:color w:val="000000" w:themeColor="text1"/>
          <w:u w:val="single" w:color="000000" w:themeColor="text1"/>
        </w:rPr>
        <w:t>Any unused credit may be carried forward three tax years after the tax year in which the qualified contribution is first eligible to be claimed.</w:t>
      </w:r>
      <w:r w:rsidR="006F4EA5"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0E05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lastRenderedPageBreak/>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BB618B" w:rsidRDefault="00E834B4" w:rsidP="00BB61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B618B"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BF" w:rsidRDefault="008B71BF" w:rsidP="009F0C77">
      <w:r>
        <w:separator/>
      </w:r>
    </w:p>
  </w:endnote>
  <w:endnote w:type="continuationSeparator" w:id="0">
    <w:p w:rsidR="008B71BF" w:rsidRDefault="008B7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F49699-2A44-4A53-9B9E-E1C190D3FD4C}"/>
    <w:embedBold r:id="rId2" w:fontKey="{83D48640-AB8B-43F7-8D74-F1EB4FE30282}"/>
  </w:font>
  <w:font w:name="Calibri">
    <w:panose1 w:val="020F0502020204030204"/>
    <w:charset w:val="00"/>
    <w:family w:val="swiss"/>
    <w:pitch w:val="variable"/>
    <w:sig w:usb0="E0002EFF" w:usb1="C000247B" w:usb2="00000009" w:usb3="00000000" w:csb0="000001FF" w:csb1="00000000"/>
    <w:embedRegular r:id="rId3" w:fontKey="{7B033CAD-B79A-41C9-8FF8-D96CADCEEACE}"/>
  </w:font>
  <w:font w:name="Segoe UI">
    <w:panose1 w:val="020B0502040204020203"/>
    <w:charset w:val="00"/>
    <w:family w:val="swiss"/>
    <w:pitch w:val="variable"/>
    <w:sig w:usb0="E4002EFF" w:usb1="C000E47F" w:usb2="00000009" w:usb3="00000000" w:csb0="000001FF" w:csb1="00000000"/>
    <w:embedRegular r:id="rId4" w:fontKey="{8C9333DE-4DC3-4C02-A66C-55BC26505353}"/>
  </w:font>
  <w:font w:name="Cambria">
    <w:panose1 w:val="02040503050406030204"/>
    <w:charset w:val="00"/>
    <w:family w:val="roman"/>
    <w:pitch w:val="variable"/>
    <w:sig w:usb0="E00006FF" w:usb1="420024FF" w:usb2="02000000" w:usb3="00000000" w:csb0="0000019F" w:csb1="00000000"/>
    <w:embedRegular r:id="rId5" w:fontKey="{610D2C2E-90EA-4F79-AA5E-BF9419D62A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fldChar w:fldCharType="begin"/>
    </w:r>
    <w:r>
      <w:instrText xml:space="preserve"> PAGE  \* MERGEFORMAT </w:instrText>
    </w:r>
    <w:r>
      <w:fldChar w:fldCharType="separate"/>
    </w:r>
    <w:r w:rsidR="006804A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BB61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BF" w:rsidRDefault="008B71BF" w:rsidP="009F0C77">
      <w:r>
        <w:separator/>
      </w:r>
    </w:p>
  </w:footnote>
  <w:footnote w:type="continuationSeparator" w:id="0">
    <w:p w:rsidR="008B71BF" w:rsidRDefault="008B7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E0100"/>
    <w:rsid w:val="000E051C"/>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E5912"/>
    <w:rsid w:val="00301B21"/>
    <w:rsid w:val="00325348"/>
    <w:rsid w:val="0032732C"/>
    <w:rsid w:val="00336AD0"/>
    <w:rsid w:val="0037079A"/>
    <w:rsid w:val="003739FE"/>
    <w:rsid w:val="003A1D42"/>
    <w:rsid w:val="003C4DAB"/>
    <w:rsid w:val="003D01E8"/>
    <w:rsid w:val="003E5288"/>
    <w:rsid w:val="003F02EE"/>
    <w:rsid w:val="003F6BCC"/>
    <w:rsid w:val="003F6D79"/>
    <w:rsid w:val="00403791"/>
    <w:rsid w:val="00414362"/>
    <w:rsid w:val="0041760A"/>
    <w:rsid w:val="00417C01"/>
    <w:rsid w:val="004403BD"/>
    <w:rsid w:val="00461441"/>
    <w:rsid w:val="004809EE"/>
    <w:rsid w:val="004E7D54"/>
    <w:rsid w:val="005273C6"/>
    <w:rsid w:val="00530A69"/>
    <w:rsid w:val="00532BA9"/>
    <w:rsid w:val="00540982"/>
    <w:rsid w:val="00545593"/>
    <w:rsid w:val="00556EBF"/>
    <w:rsid w:val="00577C6C"/>
    <w:rsid w:val="005A62FE"/>
    <w:rsid w:val="005C2FE2"/>
    <w:rsid w:val="005D2077"/>
    <w:rsid w:val="005E2BC9"/>
    <w:rsid w:val="00605102"/>
    <w:rsid w:val="006215AA"/>
    <w:rsid w:val="00635F6C"/>
    <w:rsid w:val="006804A3"/>
    <w:rsid w:val="006913C9"/>
    <w:rsid w:val="0069470D"/>
    <w:rsid w:val="006D58AA"/>
    <w:rsid w:val="006E04D3"/>
    <w:rsid w:val="006F4EA5"/>
    <w:rsid w:val="00734F00"/>
    <w:rsid w:val="00736959"/>
    <w:rsid w:val="00747509"/>
    <w:rsid w:val="00773B6E"/>
    <w:rsid w:val="007A70AE"/>
    <w:rsid w:val="00825BEC"/>
    <w:rsid w:val="008362E8"/>
    <w:rsid w:val="00843BCD"/>
    <w:rsid w:val="0085786E"/>
    <w:rsid w:val="0089445A"/>
    <w:rsid w:val="00897B43"/>
    <w:rsid w:val="008A1768"/>
    <w:rsid w:val="008A489F"/>
    <w:rsid w:val="008B4C5D"/>
    <w:rsid w:val="008B71BF"/>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47B1D"/>
    <w:rsid w:val="00B64FFF"/>
    <w:rsid w:val="00BB618B"/>
    <w:rsid w:val="00BE3C22"/>
    <w:rsid w:val="00C0345E"/>
    <w:rsid w:val="00C21ABE"/>
    <w:rsid w:val="00C31C95"/>
    <w:rsid w:val="00C3483A"/>
    <w:rsid w:val="00C74E9D"/>
    <w:rsid w:val="00C81D5D"/>
    <w:rsid w:val="00C826DD"/>
    <w:rsid w:val="00C82FD3"/>
    <w:rsid w:val="00C92819"/>
    <w:rsid w:val="00C93CBD"/>
    <w:rsid w:val="00CC6B7B"/>
    <w:rsid w:val="00CD2089"/>
    <w:rsid w:val="00D40E33"/>
    <w:rsid w:val="00D73A67"/>
    <w:rsid w:val="00D970A9"/>
    <w:rsid w:val="00DF3845"/>
    <w:rsid w:val="00E41911"/>
    <w:rsid w:val="00E44B57"/>
    <w:rsid w:val="00E834B4"/>
    <w:rsid w:val="00E92EEF"/>
    <w:rsid w:val="00EF2368"/>
    <w:rsid w:val="00EF6ECB"/>
    <w:rsid w:val="00F24442"/>
    <w:rsid w:val="00F50AE3"/>
    <w:rsid w:val="00F655B7"/>
    <w:rsid w:val="00F656BA"/>
    <w:rsid w:val="00F679A2"/>
    <w:rsid w:val="00F67CF1"/>
    <w:rsid w:val="00F728AA"/>
    <w:rsid w:val="00F840F0"/>
    <w:rsid w:val="00F972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AD355"/>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1DECD-095E-49D4-B1F7-5409824EE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5315</Characters>
  <Application>Microsoft Office Word</Application>
  <DocSecurity>0</DocSecurity>
  <Lines>146</Lines>
  <Paragraphs>31</Paragraphs>
  <ScaleCrop>false</ScaleCrop>
  <HeadingPairs>
    <vt:vector size="2" baseType="variant">
      <vt:variant>
        <vt:lpstr>Title</vt:lpstr>
      </vt:variant>
      <vt:variant>
        <vt:i4>1</vt:i4>
      </vt:variant>
    </vt:vector>
  </HeadingPairs>
  <TitlesOfParts>
    <vt:vector size="1" baseType="lpstr">
      <vt:lpstr>2021-2022 Bill 3899: Subject not yet available - South Carolina Legislature Online</vt:lpstr>
    </vt:vector>
  </TitlesOfParts>
  <Company>LPITS</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(Apr. 8, 2021) - South Carolina Legislature Online</dc:title>
  <dc:creator>Niki Downey</dc:creator>
  <cp:lastModifiedBy>Derrick Williamson</cp:lastModifiedBy>
  <cp:revision>2</cp:revision>
  <cp:lastPrinted>2021-04-08T18:40:00Z</cp:lastPrinted>
  <dcterms:created xsi:type="dcterms:W3CDTF">2021-04-08T18:41:00Z</dcterms:created>
  <dcterms:modified xsi:type="dcterms:W3CDTF">2021-04-08T18:41:00Z</dcterms:modified>
</cp:coreProperties>
</file>