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ADF"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6143" w:rsidRP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3E147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07B4E" w:rsidRDefault="003E147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907B4E">
        <w:t>, 2021</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Pr="00907B4E" w:rsidRDefault="00907B4E" w:rsidP="00907B4E">
      <w:pPr>
        <w:tabs>
          <w:tab w:val="right" w:pos="5933"/>
        </w:tabs>
        <w:suppressAutoHyphens/>
      </w:pPr>
      <w:r>
        <w:tab/>
      </w:r>
      <w:r>
        <w:rPr>
          <w:b/>
          <w:sz w:val="36"/>
        </w:rPr>
        <w:t>H. 4017</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Simrill, Pope, Weeks, W. Cox and Hill</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Default="003E147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907B4E">
        <w:t>/21--S.</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2E" w:rsidRP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6C2E" w:rsidSect="00C60AD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8368C" w:rsidRDefault="0088368C"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3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3C1">
        <w:rPr>
          <w:color w:val="000000" w:themeColor="text1"/>
          <w:u w:color="000000" w:themeColor="text1"/>
        </w:rPr>
        <w:t>TO AMEND 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 AS AMENDED, CODE OF LAWS OF SOUTH CAROLINA, 1976, RELATING TO THE APPLICATION OF THE INTERNAL REVENUE CODE TO STATE INCOME TAX LAWS, SO AS TO UPDATE THE REFERENCE TO THE INTERNAL R</w:t>
      </w:r>
      <w:r>
        <w:rPr>
          <w:color w:val="000000" w:themeColor="text1"/>
          <w:u w:color="000000" w:themeColor="text1"/>
        </w:rPr>
        <w:t>EVENUE CODE TO THE YEAR 2020,</w:t>
      </w:r>
      <w:r w:rsidRPr="007673C1">
        <w:rPr>
          <w:color w:val="000000" w:themeColor="text1"/>
          <w:u w:color="000000" w:themeColor="text1"/>
        </w:rPr>
        <w:t xml:space="preserve"> TO PROVIDE THAT IF THE INTERNAL REVENUE CODE SECTIONS ADOPTED BY THIS STATE ARE EXTENDED, THEN THESE SECTIONS ALSO ARE EXTENDED FOR SOUTH CAROLINA INCOME TAX PURPOSES</w:t>
      </w:r>
      <w:r>
        <w:rPr>
          <w:color w:val="000000" w:themeColor="text1"/>
          <w:u w:color="000000" w:themeColor="text1"/>
        </w:rPr>
        <w:t xml:space="preserve">, AND TO PROVIDE FOR THE TAX TREATMENT OF THE PAYCHECK PROTECTION PROGRAM AND CERTAIN </w:t>
      </w:r>
      <w:r w:rsidRPr="006D792F">
        <w:rPr>
          <w:color w:val="000000" w:themeColor="text1"/>
          <w:szCs w:val="24"/>
        </w:rPr>
        <w:t>EXPENSES AS PROVIDED</w:t>
      </w:r>
      <w:r>
        <w:rPr>
          <w:color w:val="000000" w:themeColor="text1"/>
          <w:szCs w:val="24"/>
        </w:rPr>
        <w:t xml:space="preserve"> FOR</w:t>
      </w:r>
      <w:r w:rsidRPr="006D792F">
        <w:rPr>
          <w:color w:val="000000" w:themeColor="text1"/>
          <w:szCs w:val="24"/>
        </w:rPr>
        <w:t xml:space="preserve"> </w:t>
      </w:r>
      <w:r>
        <w:rPr>
          <w:color w:val="000000" w:themeColor="text1"/>
          <w:szCs w:val="24"/>
        </w:rPr>
        <w:t xml:space="preserve">IN </w:t>
      </w:r>
      <w:r w:rsidRPr="006D792F">
        <w:rPr>
          <w:color w:val="000000" w:themeColor="text1"/>
          <w:szCs w:val="24"/>
        </w:rPr>
        <w:t>THE FEDERAL CONSOLIDATED APPROPRIATIONS ACT OF 202</w:t>
      </w:r>
      <w:r>
        <w:rPr>
          <w:color w:val="000000" w:themeColor="text1"/>
          <w:u w:color="000000" w:themeColor="text1"/>
        </w:rPr>
        <w:t>1</w:t>
      </w:r>
      <w:r w:rsidRPr="007673C1">
        <w:rPr>
          <w:color w:val="000000" w:themeColor="text1"/>
          <w:u w:color="000000" w:themeColor="text1"/>
        </w:rPr>
        <w:t xml:space="preserve">. </w:t>
      </w:r>
      <w:bookmarkEnd w:id="1"/>
    </w:p>
    <w:p w:rsidR="0010776B" w:rsidRDefault="003E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E147F" w:rsidRDefault="003E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SECTION</w:t>
      </w:r>
      <w:r w:rsidRPr="007673C1">
        <w:rPr>
          <w:color w:val="000000" w:themeColor="text1"/>
          <w:u w:color="000000" w:themeColor="text1"/>
        </w:rPr>
        <w:tab/>
        <w:t>1.</w:t>
      </w:r>
      <w:r w:rsidRPr="007673C1">
        <w:rPr>
          <w:color w:val="000000" w:themeColor="text1"/>
          <w:u w:color="000000" w:themeColor="text1"/>
        </w:rPr>
        <w:tab/>
      </w:r>
      <w:r w:rsidR="007A0FF3">
        <w:rPr>
          <w:color w:val="000000" w:themeColor="text1"/>
          <w:u w:color="000000" w:themeColor="text1"/>
        </w:rPr>
        <w:t>A.</w:t>
      </w:r>
      <w:r w:rsidR="007A0FF3">
        <w:rPr>
          <w:color w:val="000000" w:themeColor="text1"/>
          <w:u w:color="000000" w:themeColor="text1"/>
        </w:rPr>
        <w:tab/>
      </w:r>
      <w:r w:rsidRPr="007673C1">
        <w:rPr>
          <w:color w:val="000000" w:themeColor="text1"/>
          <w:u w:color="000000" w:themeColor="text1"/>
        </w:rPr>
        <w:t>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40(A)(1)(a) and (c) of the 1976 Code, as last amended by Act 147 of 2020, is further amended to read:</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673C1">
        <w:rPr>
          <w:color w:val="000000" w:themeColor="text1"/>
          <w:u w:color="000000" w:themeColor="text1"/>
        </w:rPr>
        <w:t xml:space="preserve">Except as otherwise provided, ‘Internal Revenue Code’ means the Internal Revenue Code of 1986, as amended through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and includes the effective date provisions contained in it.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r>
      <w:r w:rsidRPr="007673C1">
        <w:rPr>
          <w:color w:val="000000" w:themeColor="text1"/>
          <w:u w:color="000000" w:themeColor="text1"/>
        </w:rPr>
        <w:tab/>
      </w:r>
      <w:r w:rsidRPr="007673C1">
        <w:rPr>
          <w:color w:val="000000" w:themeColor="text1"/>
          <w:u w:color="000000" w:themeColor="text1"/>
        </w:rPr>
        <w:tab/>
        <w:t>(c)</w:t>
      </w:r>
      <w:r>
        <w:rPr>
          <w:color w:val="000000" w:themeColor="text1"/>
          <w:u w:color="000000" w:themeColor="text1"/>
        </w:rPr>
        <w:tab/>
      </w:r>
      <w:r w:rsidRPr="007673C1">
        <w:rPr>
          <w:color w:val="000000" w:themeColor="text1"/>
          <w:u w:color="000000" w:themeColor="text1"/>
        </w:rPr>
        <w:t xml:space="preserve">If Internal Revenue Code sections adopted by this State which expired or portions thereof expired on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xml:space="preserve">, are extended, but otherwise not amended, by congressional enactment during </w:t>
      </w:r>
      <w:r w:rsidRPr="007673C1">
        <w:rPr>
          <w:strike/>
          <w:color w:val="000000" w:themeColor="text1"/>
          <w:u w:color="000000" w:themeColor="text1"/>
        </w:rPr>
        <w:t>2020</w:t>
      </w:r>
      <w:r w:rsidRPr="007673C1">
        <w:rPr>
          <w:color w:val="000000" w:themeColor="text1"/>
          <w:u w:color="000000" w:themeColor="text1"/>
        </w:rPr>
        <w:t xml:space="preserve"> </w:t>
      </w:r>
      <w:r w:rsidRPr="007673C1">
        <w:rPr>
          <w:color w:val="000000" w:themeColor="text1"/>
          <w:u w:val="single" w:color="000000" w:themeColor="text1"/>
        </w:rPr>
        <w:t>2021</w:t>
      </w:r>
      <w:r w:rsidRPr="007673C1">
        <w:rPr>
          <w:color w:val="000000" w:themeColor="text1"/>
          <w:u w:color="000000" w:themeColor="text1"/>
        </w:rPr>
        <w:t xml:space="preserve">, these sections or portions thereof also </w:t>
      </w:r>
      <w:r w:rsidRPr="007673C1">
        <w:rPr>
          <w:color w:val="000000" w:themeColor="text1"/>
          <w:u w:color="000000" w:themeColor="text1"/>
        </w:rPr>
        <w:lastRenderedPageBreak/>
        <w:t>are extended for South Carolina income tax purposes in the same manner that they are extended for federal income tax purposes.”</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12-6-40(A)(1) of the 1976 Code</w:t>
      </w:r>
      <w:r w:rsidR="005D3F49">
        <w:rPr>
          <w:color w:val="000000" w:themeColor="text1"/>
          <w:u w:color="000000" w:themeColor="text1"/>
        </w:rPr>
        <w:t>, as last amended by Act 147 of 2020,</w:t>
      </w:r>
      <w:r>
        <w:rPr>
          <w:color w:val="000000" w:themeColor="text1"/>
          <w:u w:color="000000" w:themeColor="text1"/>
        </w:rPr>
        <w:t xml:space="preserve"> is</w:t>
      </w:r>
      <w:r w:rsidR="005D3F49">
        <w:rPr>
          <w:color w:val="000000" w:themeColor="text1"/>
          <w:u w:color="000000" w:themeColor="text1"/>
        </w:rPr>
        <w:t xml:space="preserve"> further</w:t>
      </w:r>
      <w:r>
        <w:rPr>
          <w:color w:val="000000" w:themeColor="text1"/>
          <w:u w:color="000000" w:themeColor="text1"/>
        </w:rPr>
        <w:t xml:space="preserve"> amended by adding appropriately lettered subitems to read:</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FF3" w:rsidRPr="006D792F"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ab/>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To the extent loans are forgiven and excluded from gross income for federal income tax purposes under the paycheck protection program in Section 1102 of  the Coronavirus Aid, Relief, and Economic Security Act (Public Law 116</w:t>
      </w:r>
      <w:r w:rsidRPr="006D792F">
        <w:rPr>
          <w:color w:val="000000" w:themeColor="text1"/>
          <w:szCs w:val="24"/>
        </w:rPr>
        <w:noBreakHyphen/>
        <w:t xml:space="preserve">136), or from any extension of the paycheck protection program,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 </w:t>
      </w:r>
    </w:p>
    <w:p w:rsidR="007A0FF3" w:rsidRPr="007673C1"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rPr>
        <w:tab/>
      </w:r>
      <w:r>
        <w:rPr>
          <w:color w:val="000000" w:themeColor="text1"/>
          <w:szCs w:val="24"/>
        </w:rPr>
        <w:tab/>
      </w:r>
      <w:r>
        <w:rPr>
          <w:color w:val="000000" w:themeColor="text1"/>
          <w:szCs w:val="24"/>
        </w:rPr>
        <w:tab/>
      </w:r>
      <w:r w:rsidRPr="006D792F">
        <w:rPr>
          <w:color w:val="000000" w:themeColor="text1"/>
          <w:szCs w:val="24"/>
        </w:rPr>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 xml:space="preserve">South Carolina adopts the federal tax treatment for any exclusion from federal taxable income or allowance of expenses as provided </w:t>
      </w:r>
      <w:r>
        <w:rPr>
          <w:color w:val="000000" w:themeColor="text1"/>
          <w:szCs w:val="24"/>
        </w:rPr>
        <w:t xml:space="preserve">in </w:t>
      </w:r>
      <w:r w:rsidRPr="006D792F">
        <w:rPr>
          <w:color w:val="000000" w:themeColor="text1"/>
          <w:szCs w:val="24"/>
        </w:rPr>
        <w:t>the federal Consolidated Appropriations Act of 2021 in Sections 276 (Clarification of Tax Treatment of Forgiveness of Covered Loans), 277 (Emergency Financial Aid Grants), and 278 (Clarification of Tax Treatment of Certain Loan Forgiveness and Other Business Financial Assistance).</w:t>
      </w:r>
      <w:r>
        <w:rPr>
          <w:color w:val="000000" w:themeColor="text1"/>
          <w:szCs w:val="24"/>
        </w:rPr>
        <w: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t>SECTION</w:t>
      </w:r>
      <w:r>
        <w:tab/>
        <w:t>2</w:t>
      </w:r>
      <w:r w:rsidRPr="00886143">
        <w:t>.</w:t>
      </w:r>
      <w:r w:rsidRPr="00886143">
        <w:tab/>
        <w:t>(A)</w:t>
      </w:r>
      <w:r w:rsidRPr="00886143">
        <w:tab/>
      </w:r>
      <w:r w:rsidRPr="00886143">
        <w:rPr>
          <w:rFonts w:eastAsia="Calibri"/>
          <w:szCs w:val="24"/>
          <w:u w:color="000000"/>
        </w:rPr>
        <w:t>The following amendments in the Coronavirus Aid, Relief, and Economic Security Act (CARES) of 2020, P.L. 116</w:t>
      </w:r>
      <w:r w:rsidRPr="00886143">
        <w:rPr>
          <w:rFonts w:eastAsia="Calibri"/>
          <w:szCs w:val="24"/>
          <w:u w:color="000000"/>
        </w:rPr>
        <w:noBreakHyphen/>
        <w:t>136 (March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(1)</w:t>
      </w:r>
      <w:r w:rsidRPr="00886143">
        <w:rPr>
          <w:rFonts w:eastAsia="Calibri"/>
          <w:szCs w:val="24"/>
          <w:u w:color="000000"/>
        </w:rPr>
        <w:tab/>
        <w:t>Internal Revenue Code (IRC) Section 62(a)(22) relating to the $300 charitable deduction allowed in 2020 for persons who claim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Section 2205(a), (b)</w:t>
      </w:r>
      <w:r w:rsidR="004B5F5B">
        <w:rPr>
          <w:rFonts w:eastAsia="Calibri"/>
          <w:szCs w:val="24"/>
          <w:u w:color="000000"/>
        </w:rPr>
        <w:t>,</w:t>
      </w:r>
      <w:r w:rsidRPr="00886143">
        <w:rPr>
          <w:rFonts w:eastAsia="Calibri"/>
          <w:szCs w:val="24"/>
          <w:u w:color="000000"/>
        </w:rPr>
        <w:t xml:space="preserve"> and (c) of the CARES Act relating to the modification of limitations on individual and corporate cash charitable contributions for 2020 and relating to the increase in limits on charitable contributions of food inventory for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172(a) relating to the modification of the income limitations allowed for the use of net operating losses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IRC Section 461(l) relating to the modification of the limitation on losses allowed for non</w:t>
      </w:r>
      <w:r w:rsidRPr="00886143">
        <w:rPr>
          <w:rFonts w:eastAsia="Calibri"/>
          <w:szCs w:val="24"/>
          <w:u w:color="000000"/>
        </w:rPr>
        <w:noBreakHyphen/>
        <w:t>corporate taxpayers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t>(B)</w:t>
      </w:r>
      <w:r w:rsidRPr="00886143">
        <w:rPr>
          <w:rFonts w:eastAsia="Calibri"/>
          <w:szCs w:val="24"/>
          <w:u w:color="000000"/>
        </w:rPr>
        <w:tab/>
        <w:t>The following amendments in the Consolidated Appropriations Act of 2021, P.L. 116</w:t>
      </w:r>
      <w:r w:rsidRPr="00886143">
        <w:rPr>
          <w:rFonts w:eastAsia="Calibri"/>
          <w:szCs w:val="24"/>
          <w:u w:color="000000"/>
        </w:rPr>
        <w:noBreakHyphen/>
        <w:t>260 (December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lastRenderedPageBreak/>
        <w:tab/>
      </w:r>
      <w:r w:rsidRPr="00886143">
        <w:rPr>
          <w:rFonts w:eastAsia="Calibri"/>
          <w:szCs w:val="24"/>
          <w:u w:color="000000"/>
        </w:rPr>
        <w:tab/>
        <w:t>(1)</w:t>
      </w:r>
      <w:r w:rsidRPr="00886143">
        <w:rPr>
          <w:rFonts w:eastAsia="Calibri"/>
          <w:szCs w:val="24"/>
          <w:u w:color="000000"/>
        </w:rPr>
        <w:tab/>
      </w:r>
      <w:r w:rsidRPr="00886143">
        <w:rPr>
          <w:rFonts w:eastAsia="Calibri"/>
          <w:szCs w:val="22"/>
          <w:u w:color="000000"/>
        </w:rPr>
        <w:t>Amendment to Division N Section 275 relating to the allowance of personal protective equipment expenses for the educator expense deduction under IRC Section 62(a)(2)(D)(ii);</w:t>
      </w:r>
      <w:r w:rsidRPr="00886143">
        <w:rPr>
          <w:rFonts w:eastAsia="Calibri"/>
          <w:szCs w:val="24"/>
          <w:u w:color="000000"/>
        </w:rPr>
        <w:t xml:space="preserve">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 xml:space="preserve">IRC Section 274(n) relating to the temporary allowance of the full business deduction for business meals that are paid or incurred after December 30, 2020, and before January 1, 2023;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170(p) relating to the $300 or $600 charitable deduction allowed in 2021 for persons taking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Amendment to CARES Act Section 2205 relating to the temporary extension of the modification of limitations on individual and corporate cash charitable contributions and the increase in limits on charitable contributions of food inventory to tax year 2021;</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143">
        <w:rPr>
          <w:rFonts w:eastAsia="Calibri"/>
          <w:szCs w:val="24"/>
          <w:u w:color="000000"/>
        </w:rPr>
        <w:tab/>
      </w:r>
      <w:r w:rsidRPr="00886143">
        <w:rPr>
          <w:rFonts w:eastAsia="Calibri"/>
          <w:szCs w:val="24"/>
          <w:u w:color="000000"/>
        </w:rPr>
        <w:tab/>
        <w:t>(5)</w:t>
      </w:r>
      <w:r w:rsidRPr="00886143">
        <w:rPr>
          <w:rFonts w:eastAsia="Calibri"/>
          <w:szCs w:val="24"/>
          <w:u w:color="000000"/>
        </w:rPr>
        <w:tab/>
      </w:r>
      <w:r w:rsidRPr="00886143">
        <w:rPr>
          <w:rFonts w:eastAsia="Calibri"/>
          <w:szCs w:val="22"/>
          <w:u w:color="000000"/>
        </w:rPr>
        <w:t>Amendments to the Taxpayer Certainty and Disaster Tax Relief Act of 2020, P.L. 116</w:t>
      </w:r>
      <w:r w:rsidRPr="00886143">
        <w:rPr>
          <w:rFonts w:eastAsia="Calibri"/>
          <w:szCs w:val="22"/>
          <w:u w:color="000000"/>
        </w:rPr>
        <w:noBreakHyphen/>
        <w:t>260 Division EE Section 304 relating to the special rules for qualified disaster relief for charitable contributions and special rules for qualified disaster related personal casualty losses.</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86143" w:rsidRDefault="003E147F"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7"/>
          <w:u w:color="000000" w:themeColor="text1"/>
        </w:rPr>
      </w:pPr>
      <w:r w:rsidRPr="006E5E19">
        <w:t>SECTION</w:t>
      </w:r>
      <w:r w:rsidRPr="006E5E19">
        <w:tab/>
        <w:t>3.</w:t>
      </w:r>
      <w:r w:rsidRPr="006E5E19">
        <w:tab/>
        <w:t>For tax year 2020, t</w:t>
      </w:r>
      <w:r w:rsidRPr="006E5E19">
        <w:rPr>
          <w:rFonts w:eastAsia="Calibri"/>
          <w:szCs w:val="24"/>
        </w:rPr>
        <w:t>he amendment in the American Rescue Plan of 2021, P.L. 117-2 (March 11, 2021) relating to the exclusion from taxable income for tax year 2020 of $10,200 of unemployment compensation for a taxpayer with less than $150,000 in federal adjusted gross income is specifically adopted by South Carolina.</w:t>
      </w:r>
      <w:r w:rsidRPr="006E5E19">
        <w:t xml:space="preserve">  </w:t>
      </w:r>
      <w:r w:rsidRPr="006E5E19">
        <w:rPr>
          <w:color w:val="000000" w:themeColor="text1"/>
          <w:szCs w:val="27"/>
          <w:u w:color="000000" w:themeColor="text1"/>
        </w:rPr>
        <w:t>The Department of Administration’s Director of the Executive Budget Office is authorized to allocate sixty</w:t>
      </w:r>
      <w:r w:rsidRPr="006E5E19">
        <w:rPr>
          <w:color w:val="000000" w:themeColor="text1"/>
          <w:szCs w:val="27"/>
          <w:u w:color="000000" w:themeColor="text1"/>
        </w:rPr>
        <w:noBreakHyphen/>
        <w:t>one million three hundred thousand dollars in the appropriate fiscal years from the American Rescue Plan Act of 2021 to the general fund to account for the provisions of this SECTION.</w:t>
      </w:r>
      <w:r w:rsidRPr="00BF2902">
        <w:rPr>
          <w:color w:val="000000" w:themeColor="text1"/>
          <w:szCs w:val="27"/>
          <w:u w:color="000000" w:themeColor="text1"/>
        </w:rPr>
        <w:t xml:space="preserve">   </w:t>
      </w:r>
    </w:p>
    <w:p w:rsidR="003E147F" w:rsidRDefault="003E147F"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3E96"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73C1">
        <w:rPr>
          <w:color w:val="000000" w:themeColor="text1"/>
          <w:u w:color="000000" w:themeColor="text1"/>
        </w:rPr>
        <w:t>SECTION</w:t>
      </w:r>
      <w:r w:rsidRPr="007673C1">
        <w:rPr>
          <w:color w:val="000000" w:themeColor="text1"/>
          <w:u w:color="000000" w:themeColor="text1"/>
        </w:rPr>
        <w:tab/>
      </w:r>
      <w:r w:rsidR="00886143">
        <w:rPr>
          <w:color w:val="000000" w:themeColor="text1"/>
          <w:u w:color="000000" w:themeColor="text1"/>
        </w:rPr>
        <w:t>4</w:t>
      </w:r>
      <w:r w:rsidR="00633E96">
        <w:t>.</w:t>
      </w:r>
      <w:r w:rsidR="00633E96">
        <w:tab/>
        <w:t>This act takes effect upon approval by the Governor.</w:t>
      </w:r>
    </w:p>
    <w:p w:rsidR="00BD60D3" w:rsidRDefault="005F25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C28" w:rsidRDefault="00957C28" w:rsidP="00957C28">
      <w:pPr>
        <w:suppressAutoHyphens/>
      </w:pPr>
    </w:p>
    <w:sectPr w:rsidR="00957C28" w:rsidSect="00C60A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96" w:rsidRDefault="00633E96" w:rsidP="009F0C77">
      <w:r>
        <w:separator/>
      </w:r>
    </w:p>
  </w:endnote>
  <w:endnote w:type="continuationSeparator" w:id="0">
    <w:p w:rsidR="00633E96" w:rsidRDefault="00633E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FAE3AAE-1D36-4807-9625-52A7B7E2556E}"/>
  </w:font>
  <w:font w:name="Times New Roman">
    <w:panose1 w:val="02020603050405020304"/>
    <w:charset w:val="00"/>
    <w:family w:val="roman"/>
    <w:pitch w:val="variable"/>
    <w:sig w:usb0="E0002EFF" w:usb1="C000785B" w:usb2="00000009" w:usb3="00000000" w:csb0="000001FF" w:csb1="00000000"/>
    <w:embedRegular r:id="rId2" w:fontKey="{70CB27AF-B0AA-4E2B-9096-3376DEE76A3B}"/>
    <w:embedBold r:id="rId3" w:fontKey="{80C1A709-79EA-488B-BB31-9754B4AD9F95}"/>
  </w:font>
  <w:font w:name="Courier New">
    <w:panose1 w:val="02070309020205020404"/>
    <w:charset w:val="00"/>
    <w:family w:val="modern"/>
    <w:pitch w:val="fixed"/>
    <w:sig w:usb0="E0002EFF" w:usb1="C0007843" w:usb2="00000009" w:usb3="00000000" w:csb0="000001FF" w:csb1="00000000"/>
    <w:embedRegular r:id="rId4" w:fontKey="{7B2AD124-8738-4489-9D8E-4BCE07BD7408}"/>
  </w:font>
  <w:font w:name="Wingdings">
    <w:panose1 w:val="05000000000000000000"/>
    <w:charset w:val="02"/>
    <w:family w:val="auto"/>
    <w:pitch w:val="variable"/>
    <w:sig w:usb0="00000000" w:usb1="10000000" w:usb2="00000000" w:usb3="00000000" w:csb0="80000000" w:csb1="00000000"/>
    <w:embedRegular r:id="rId5" w:fontKey="{F22600A0-FDE6-4D1F-9163-7AC12E870FEE}"/>
  </w:font>
  <w:font w:name="Calibri">
    <w:panose1 w:val="020F0502020204030204"/>
    <w:charset w:val="00"/>
    <w:family w:val="swiss"/>
    <w:pitch w:val="variable"/>
    <w:sig w:usb0="E0002EFF" w:usb1="C000247B" w:usb2="00000009" w:usb3="00000000" w:csb0="000001FF" w:csb1="00000000"/>
    <w:embedRegular r:id="rId6" w:fontKey="{A541BD6F-F2F8-4578-87BF-6ED8FE20E305}"/>
  </w:font>
  <w:font w:name="Cambria">
    <w:panose1 w:val="02040503050406030204"/>
    <w:charset w:val="00"/>
    <w:family w:val="roman"/>
    <w:pitch w:val="variable"/>
    <w:sig w:usb0="E00006FF" w:usb1="420024FF" w:usb2="02000000" w:usb3="00000000" w:csb0="0000019F" w:csb1="00000000"/>
    <w:embedRegular r:id="rId7" w:fontKey="{E0254A63-9376-43E2-A61F-377F0F8AB2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0D3" w:rsidRPr="0088368C" w:rsidRDefault="0088368C" w:rsidP="0088368C">
    <w:pPr>
      <w:pStyle w:val="Footer"/>
      <w:tabs>
        <w:tab w:val="clear" w:pos="4680"/>
        <w:tab w:val="clear" w:pos="9360"/>
        <w:tab w:val="center" w:pos="2995"/>
      </w:tabs>
      <w:spacing w:before="120"/>
    </w:pPr>
    <w:r>
      <w:t>[4017</w:t>
    </w:r>
    <w:r w:rsidR="00C60ADF">
      <w:t>-</w:t>
    </w:r>
    <w:r w:rsidR="00C60ADF">
      <w:fldChar w:fldCharType="begin"/>
    </w:r>
    <w:r w:rsidR="00C60ADF">
      <w:instrText xml:space="preserve"> PAGE  \* MERGEFORMAT </w:instrText>
    </w:r>
    <w:r w:rsidR="00C60ADF">
      <w:fldChar w:fldCharType="separate"/>
    </w:r>
    <w:r w:rsidR="006E5E19">
      <w:rPr>
        <w:noProof/>
      </w:rPr>
      <w:t>1</w:t>
    </w:r>
    <w:r w:rsidR="00C60ADF">
      <w:fldChar w:fldCharType="end"/>
    </w:r>
    <w:r w:rsidR="00C60A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ADF" w:rsidRPr="0088368C" w:rsidRDefault="00C60ADF" w:rsidP="0088368C">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957C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96" w:rsidRDefault="00633E96" w:rsidP="009F0C77">
      <w:r>
        <w:separator/>
      </w:r>
    </w:p>
  </w:footnote>
  <w:footnote w:type="continuationSeparator" w:id="0">
    <w:p w:rsidR="00633E96" w:rsidRDefault="00633E96"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B6177"/>
    <w:multiLevelType w:val="hybridMultilevel"/>
    <w:tmpl w:val="DC425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DG21"/>
    <w:docVar w:name="CoverBillType" w:val="b"/>
    <w:docVar w:name="DocPath" w:val="L:\Council\bills\NBD\11175DG21.DOCX"/>
    <w:docVar w:name="dvBillNumber" w:val="4017"/>
    <w:docVar w:name="dvBillNumberPrefix" w:val="H. "/>
    <w:docVar w:name="dvOriginalBody" w:val="House"/>
    <w:docVar w:name="dvSteno" w:val="NBD"/>
    <w:docVar w:name="NameofBody" w:val="h"/>
    <w:docVar w:name="vGroup2" w:val="Council"/>
  </w:docVars>
  <w:rsids>
    <w:rsidRoot w:val="00633E96"/>
    <w:rsid w:val="00011869"/>
    <w:rsid w:val="00015CD6"/>
    <w:rsid w:val="00016552"/>
    <w:rsid w:val="000E0100"/>
    <w:rsid w:val="000E1785"/>
    <w:rsid w:val="000F40FA"/>
    <w:rsid w:val="000F51E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47F"/>
    <w:rsid w:val="003E5288"/>
    <w:rsid w:val="003F6D79"/>
    <w:rsid w:val="0041760A"/>
    <w:rsid w:val="00417C01"/>
    <w:rsid w:val="004403BD"/>
    <w:rsid w:val="00461441"/>
    <w:rsid w:val="00466532"/>
    <w:rsid w:val="004809EE"/>
    <w:rsid w:val="004A42CA"/>
    <w:rsid w:val="004B5F5B"/>
    <w:rsid w:val="004E7D54"/>
    <w:rsid w:val="005273C6"/>
    <w:rsid w:val="00530A69"/>
    <w:rsid w:val="00545593"/>
    <w:rsid w:val="00556EBF"/>
    <w:rsid w:val="00577C6C"/>
    <w:rsid w:val="005A62FE"/>
    <w:rsid w:val="005C2FE2"/>
    <w:rsid w:val="005D3F49"/>
    <w:rsid w:val="005E2BC9"/>
    <w:rsid w:val="005F2549"/>
    <w:rsid w:val="00605102"/>
    <w:rsid w:val="006215AA"/>
    <w:rsid w:val="00633E96"/>
    <w:rsid w:val="006913C9"/>
    <w:rsid w:val="0069470D"/>
    <w:rsid w:val="006D58AA"/>
    <w:rsid w:val="006E5E19"/>
    <w:rsid w:val="00734F00"/>
    <w:rsid w:val="00736959"/>
    <w:rsid w:val="007A0FF3"/>
    <w:rsid w:val="007A70AE"/>
    <w:rsid w:val="008362E8"/>
    <w:rsid w:val="0085786E"/>
    <w:rsid w:val="0088368C"/>
    <w:rsid w:val="00886143"/>
    <w:rsid w:val="008A1768"/>
    <w:rsid w:val="008A489F"/>
    <w:rsid w:val="008F0F33"/>
    <w:rsid w:val="008F4429"/>
    <w:rsid w:val="00907B4E"/>
    <w:rsid w:val="0094021A"/>
    <w:rsid w:val="00957C28"/>
    <w:rsid w:val="009B44AF"/>
    <w:rsid w:val="009C6A0B"/>
    <w:rsid w:val="009F0C77"/>
    <w:rsid w:val="009F4DD1"/>
    <w:rsid w:val="00A02543"/>
    <w:rsid w:val="00A065B5"/>
    <w:rsid w:val="00A41684"/>
    <w:rsid w:val="00A64E80"/>
    <w:rsid w:val="00A72BCD"/>
    <w:rsid w:val="00A741D9"/>
    <w:rsid w:val="00A833AB"/>
    <w:rsid w:val="00A9741D"/>
    <w:rsid w:val="00AC34A2"/>
    <w:rsid w:val="00AD1C9A"/>
    <w:rsid w:val="00AD4B17"/>
    <w:rsid w:val="00B412D4"/>
    <w:rsid w:val="00B64FFF"/>
    <w:rsid w:val="00B77A54"/>
    <w:rsid w:val="00BC6C2E"/>
    <w:rsid w:val="00BD60D3"/>
    <w:rsid w:val="00BE3C22"/>
    <w:rsid w:val="00C0345E"/>
    <w:rsid w:val="00C21ABE"/>
    <w:rsid w:val="00C31C95"/>
    <w:rsid w:val="00C3483A"/>
    <w:rsid w:val="00C60ADF"/>
    <w:rsid w:val="00C74E9D"/>
    <w:rsid w:val="00C826DD"/>
    <w:rsid w:val="00C82FD3"/>
    <w:rsid w:val="00C874BE"/>
    <w:rsid w:val="00C92819"/>
    <w:rsid w:val="00CC6B7B"/>
    <w:rsid w:val="00CD2089"/>
    <w:rsid w:val="00D73A67"/>
    <w:rsid w:val="00D970A9"/>
    <w:rsid w:val="00DF3845"/>
    <w:rsid w:val="00E41911"/>
    <w:rsid w:val="00E44B57"/>
    <w:rsid w:val="00E92EEF"/>
    <w:rsid w:val="00EF2368"/>
    <w:rsid w:val="00F00A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81B2C-A885-403C-A0A9-AAEB7EE2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8B0B5-033E-4FC9-9FDA-1F5D26AAC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4670</Characters>
  <Application>Microsoft Office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2021-2022 Bill 4017: Subject not yet available - South Carolina Legislature Online</vt:lpstr>
    </vt:vector>
  </TitlesOfParts>
  <Company>LPITS</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4017 Text of Previous Version (May 11, 2021) - South Carolina Legislature Online</dc:title>
  <dc:creator>Niki Downey</dc:creator>
  <cp:lastModifiedBy>Tucker Smoak</cp:lastModifiedBy>
  <cp:revision>2</cp:revision>
  <cp:lastPrinted>2021-03-03T15:31:00Z</cp:lastPrinted>
  <dcterms:created xsi:type="dcterms:W3CDTF">2021-05-11T18:52:00Z</dcterms:created>
  <dcterms:modified xsi:type="dcterms:W3CDTF">2021-05-11T18:52:00Z</dcterms:modified>
</cp:coreProperties>
</file>