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A7E" w:rsidRDefault="00CE0A7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51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0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A52">
        <w:t>TO AMEND SECTION 6</w:t>
      </w:r>
      <w:r w:rsidR="00794E29">
        <w:noBreakHyphen/>
      </w:r>
      <w:r w:rsidRPr="00993A52">
        <w:t>9</w:t>
      </w:r>
      <w:r w:rsidR="00794E29">
        <w:noBreakHyphen/>
      </w:r>
      <w:r w:rsidRPr="00993A52">
        <w:t>40</w:t>
      </w:r>
      <w:r>
        <w:t>, CODE OF LAWS OF SOUTH CAROLINA, 1976,</w:t>
      </w:r>
      <w:r w:rsidRPr="00993A52">
        <w:t xml:space="preserve"> RELATING TO BUILDING CODE ADOPTION PROCEDURES, </w:t>
      </w:r>
      <w:r>
        <w:t xml:space="preserve">SO AS </w:t>
      </w:r>
      <w:r w:rsidRPr="00993A52">
        <w:t>TO PROVIDE THAT THE</w:t>
      </w:r>
      <w:r>
        <w:t xml:space="preserve"> SOUTH CAROLINA BUILDING CODES</w:t>
      </w:r>
      <w:r w:rsidRPr="00993A52">
        <w:t xml:space="preserve"> COUNCIL </w:t>
      </w:r>
      <w:r>
        <w:t xml:space="preserve">ALSO </w:t>
      </w:r>
      <w:r w:rsidRPr="00993A52">
        <w:t>IS AUTH</w:t>
      </w:r>
      <w:r>
        <w:t>ORIZED TO DENY</w:t>
      </w:r>
      <w:r w:rsidRPr="00993A52">
        <w:t xml:space="preserve"> THE RESIDENTIAL BUILDING CODES </w:t>
      </w:r>
      <w:r>
        <w:t>WITHIN A CERTAIN TIME FRAME</w:t>
      </w:r>
      <w:r w:rsidRPr="00993A52">
        <w:rPr>
          <w:color w:val="000000" w:themeColor="text1"/>
          <w:u w:color="000000" w:themeColor="text1"/>
        </w:rPr>
        <w:t xml:space="preserve">, TO PROVIDE THAT </w:t>
      </w:r>
      <w:r w:rsidRPr="00993A52">
        <w:t xml:space="preserve">THE COUNCIL </w:t>
      </w:r>
      <w:r>
        <w:t xml:space="preserve">ALSO </w:t>
      </w:r>
      <w:r w:rsidRPr="00993A52">
        <w:t xml:space="preserve">MAY </w:t>
      </w:r>
      <w:r>
        <w:t>DENY</w:t>
      </w:r>
      <w:r w:rsidRPr="00993A52">
        <w:t xml:space="preserve"> THE </w:t>
      </w:r>
      <w:r>
        <w:t xml:space="preserve">STUDY </w:t>
      </w:r>
      <w:r w:rsidRPr="00993A52">
        <w:rPr>
          <w:color w:val="000000" w:themeColor="text1"/>
          <w:szCs w:val="27"/>
          <w:u w:color="000000" w:themeColor="text1"/>
        </w:rPr>
        <w:t>COMMITTEE</w:t>
      </w:r>
      <w:r w:rsidR="00794E29">
        <w:rPr>
          <w:color w:val="000000" w:themeColor="text1"/>
          <w:szCs w:val="27"/>
          <w:u w:color="000000" w:themeColor="text1"/>
        </w:rPr>
        <w:t>’</w:t>
      </w:r>
      <w:r w:rsidRPr="00993A52">
        <w:rPr>
          <w:color w:val="000000" w:themeColor="text1"/>
          <w:szCs w:val="27"/>
          <w:u w:color="000000" w:themeColor="text1"/>
        </w:rPr>
        <w:t>S REPORT</w:t>
      </w:r>
      <w:r>
        <w:rPr>
          <w:color w:val="000000" w:themeColor="text1"/>
          <w:szCs w:val="27"/>
          <w:u w:color="000000" w:themeColor="text1"/>
        </w:rPr>
        <w:t xml:space="preserve"> OF RECOMMENDATIONS</w:t>
      </w:r>
      <w:r w:rsidRPr="00993A52">
        <w:rPr>
          <w:color w:val="000000" w:themeColor="text1"/>
          <w:szCs w:val="27"/>
          <w:u w:color="000000" w:themeColor="text1"/>
        </w:rPr>
        <w:t xml:space="preserve"> </w:t>
      </w:r>
      <w:r>
        <w:rPr>
          <w:color w:val="000000" w:themeColor="text1"/>
          <w:szCs w:val="27"/>
          <w:u w:color="000000" w:themeColor="text1"/>
        </w:rPr>
        <w:t>UNDER CERTAIN CIRCUMSTANCES</w:t>
      </w:r>
      <w:r w:rsidRPr="00C81E92">
        <w:t xml:space="preserve">, AND TO PROVIDE THAT </w:t>
      </w:r>
      <w:r w:rsidRPr="00C81E92">
        <w:rPr>
          <w:color w:val="000000" w:themeColor="text1"/>
          <w:szCs w:val="27"/>
        </w:rPr>
        <w:t>THE COUNCIL MUST PROVIDE A PRELIMINARY FISCAL IMPACT STATEMENT</w:t>
      </w:r>
      <w:r w:rsidRPr="00C81E9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33" w:rsidRPr="00A00833" w:rsidRDefault="009C512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A00833" w:rsidRPr="00A00833">
        <w:rPr>
          <w:szCs w:val="22"/>
        </w:rPr>
        <w:t>Section 6</w:t>
      </w:r>
      <w:r w:rsidR="00794E29">
        <w:rPr>
          <w:szCs w:val="22"/>
        </w:rPr>
        <w:noBreakHyphen/>
      </w:r>
      <w:r w:rsidR="00A00833" w:rsidRPr="00A00833">
        <w:rPr>
          <w:szCs w:val="22"/>
        </w:rPr>
        <w:t>9</w:t>
      </w:r>
      <w:r w:rsidR="00794E29">
        <w:rPr>
          <w:szCs w:val="22"/>
        </w:rPr>
        <w:noBreakHyphen/>
      </w:r>
      <w:r w:rsidR="00A00833" w:rsidRPr="00A00833">
        <w:rPr>
          <w:szCs w:val="22"/>
        </w:rPr>
        <w:t>40(A) of the 1976 Code is amended to read:</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szCs w:val="22"/>
        </w:rPr>
        <w:tab/>
        <w:t>“</w:t>
      </w:r>
      <w:r w:rsidRPr="00A00833">
        <w:rPr>
          <w:rFonts w:eastAsia="Calibri"/>
          <w:szCs w:val="22"/>
          <w:lang w:val="en-PH"/>
        </w:rPr>
        <w:t>(A)</w:t>
      </w:r>
      <w:r w:rsidRPr="00A00833">
        <w:rPr>
          <w:rFonts w:eastAsia="Calibri"/>
          <w:szCs w:val="22"/>
          <w:u w:val="single"/>
          <w:lang w:val="en-PH"/>
        </w:rPr>
        <w:t>(1)</w:t>
      </w:r>
      <w:r w:rsidR="0046130C">
        <w:rPr>
          <w:rFonts w:eastAsia="Calibri"/>
          <w:szCs w:val="22"/>
          <w:lang w:val="en-PH"/>
        </w:rPr>
        <w:tab/>
      </w:r>
      <w:r w:rsidRPr="00A00833">
        <w:rPr>
          <w:rFonts w:eastAsia="Calibri"/>
          <w:szCs w:val="22"/>
          <w:lang w:val="en-PH"/>
        </w:rPr>
        <w:t xml:space="preserve">The council is authorized to review, adopt, modify, </w:t>
      </w:r>
      <w:r w:rsidRPr="00A00833">
        <w:rPr>
          <w:rFonts w:eastAsia="Calibri"/>
          <w:strike/>
          <w:szCs w:val="22"/>
          <w:lang w:val="en-PH"/>
        </w:rPr>
        <w:t>and</w:t>
      </w:r>
      <w:r w:rsidRPr="00A00833">
        <w:rPr>
          <w:rFonts w:eastAsia="Calibri"/>
          <w:szCs w:val="22"/>
          <w:lang w:val="en-PH"/>
        </w:rPr>
        <w:t xml:space="preserve"> </w:t>
      </w:r>
      <w:r w:rsidRPr="00A00833">
        <w:rPr>
          <w:rFonts w:eastAsia="Calibri"/>
          <w:szCs w:val="22"/>
          <w:u w:val="single"/>
          <w:lang w:val="en-PH"/>
        </w:rPr>
        <w:t>deny or</w:t>
      </w:r>
      <w:r w:rsidRPr="00A00833">
        <w:rPr>
          <w:rFonts w:eastAsia="Calibri"/>
          <w:szCs w:val="22"/>
          <w:lang w:val="en-PH"/>
        </w:rPr>
        <w:t xml:space="preserve"> promulgate the </w:t>
      </w:r>
      <w:r w:rsidRPr="00A00833">
        <w:rPr>
          <w:rFonts w:eastAsia="Calibri"/>
          <w:szCs w:val="22"/>
          <w:u w:val="single"/>
          <w:lang w:val="en-PH"/>
        </w:rPr>
        <w:t>residential</w:t>
      </w:r>
      <w:r w:rsidRPr="00A00833">
        <w:rPr>
          <w:rFonts w:eastAsia="Calibri"/>
          <w:szCs w:val="22"/>
          <w:lang w:val="en-PH"/>
        </w:rPr>
        <w:t xml:space="preserve"> building codes referenced in Section 6</w:t>
      </w:r>
      <w:r w:rsidR="00794E29">
        <w:rPr>
          <w:rFonts w:eastAsia="Calibri"/>
          <w:szCs w:val="22"/>
          <w:lang w:val="en-PH"/>
        </w:rPr>
        <w:noBreakHyphen/>
      </w:r>
      <w:r w:rsidRPr="00A00833">
        <w:rPr>
          <w:rFonts w:eastAsia="Calibri"/>
          <w:szCs w:val="22"/>
          <w:lang w:val="en-PH"/>
        </w:rPr>
        <w:t>9</w:t>
      </w:r>
      <w:r w:rsidR="00794E29">
        <w:rPr>
          <w:rFonts w:eastAsia="Calibri"/>
          <w:szCs w:val="22"/>
          <w:lang w:val="en-PH"/>
        </w:rPr>
        <w:noBreakHyphen/>
      </w:r>
      <w:r w:rsidRPr="00A00833">
        <w:rPr>
          <w:rFonts w:eastAsia="Calibri"/>
          <w:szCs w:val="22"/>
          <w:lang w:val="en-PH"/>
        </w:rPr>
        <w:t xml:space="preserve">50, </w:t>
      </w:r>
      <w:r w:rsidRPr="00A00833">
        <w:rPr>
          <w:rFonts w:eastAsiaTheme="minorHAnsi"/>
          <w:color w:val="000000" w:themeColor="text1"/>
          <w:szCs w:val="22"/>
          <w:u w:val="single" w:color="000000" w:themeColor="text1"/>
        </w:rPr>
        <w:t xml:space="preserve">no later than six years from the date of </w:t>
      </w:r>
      <w:r w:rsidRPr="00A00833">
        <w:rPr>
          <w:rFonts w:eastAsiaTheme="minorHAnsi"/>
          <w:color w:val="000000" w:themeColor="text1"/>
          <w:szCs w:val="22"/>
          <w:u w:val="single"/>
        </w:rPr>
        <w:t>implementation</w:t>
      </w:r>
      <w:r w:rsidRPr="00A00833">
        <w:rPr>
          <w:rFonts w:eastAsiaTheme="minorHAnsi"/>
          <w:color w:val="000000" w:themeColor="text1"/>
          <w:szCs w:val="22"/>
          <w:u w:val="single" w:color="000000" w:themeColor="text1"/>
        </w:rPr>
        <w:t xml:space="preserve"> of the most recent version of the National Model Residential Building and Safety Codes of the previously adopted South Carolina Building Codes, and the commercial building codes, referenced in Section 6</w:t>
      </w:r>
      <w:r w:rsidR="00794E29">
        <w:rPr>
          <w:rFonts w:eastAsiaTheme="minorHAnsi"/>
          <w:color w:val="000000" w:themeColor="text1"/>
          <w:szCs w:val="22"/>
          <w:u w:val="single" w:color="000000" w:themeColor="text1"/>
        </w:rPr>
        <w:noBreakHyphen/>
      </w:r>
      <w:r w:rsidRPr="00A00833">
        <w:rPr>
          <w:rFonts w:eastAsiaTheme="minorHAnsi"/>
          <w:color w:val="000000" w:themeColor="text1"/>
          <w:szCs w:val="22"/>
          <w:u w:val="single" w:color="000000" w:themeColor="text1"/>
        </w:rPr>
        <w:t>9</w:t>
      </w:r>
      <w:r w:rsidR="00794E29">
        <w:rPr>
          <w:rFonts w:eastAsiaTheme="minorHAnsi"/>
          <w:color w:val="000000" w:themeColor="text1"/>
          <w:szCs w:val="22"/>
          <w:u w:val="single" w:color="000000" w:themeColor="text1"/>
        </w:rPr>
        <w:noBreakHyphen/>
      </w:r>
      <w:r w:rsidRPr="00A00833">
        <w:rPr>
          <w:rFonts w:eastAsiaTheme="minorHAnsi"/>
          <w:color w:val="000000" w:themeColor="text1"/>
          <w:szCs w:val="22"/>
          <w:u w:val="single" w:color="000000" w:themeColor="text1"/>
        </w:rPr>
        <w:t>50, no later than six years from the date of implementation of the most recent version of the National Model Building and Safety Codes of the previously adopted South Carolina Building Codes,</w:t>
      </w:r>
      <w:r w:rsidRPr="00A00833">
        <w:rPr>
          <w:rFonts w:eastAsiaTheme="minorHAnsi"/>
          <w:color w:val="000000" w:themeColor="text1"/>
          <w:szCs w:val="22"/>
        </w:rPr>
        <w:t xml:space="preserve"> </w:t>
      </w:r>
      <w:r w:rsidRPr="00A00833">
        <w:rPr>
          <w:rFonts w:eastAsia="Calibri"/>
          <w:szCs w:val="22"/>
          <w:lang w:val="en-PH"/>
        </w:rPr>
        <w:t>provided that:</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trike/>
          <w:szCs w:val="22"/>
          <w:lang w:val="en-PH"/>
        </w:rPr>
        <w:t>(1)</w:t>
      </w:r>
      <w:r w:rsidRPr="00A00833">
        <w:rPr>
          <w:rFonts w:eastAsia="Calibri"/>
          <w:szCs w:val="22"/>
          <w:u w:val="single"/>
          <w:lang w:val="en-PH"/>
        </w:rPr>
        <w:t>(a)</w:t>
      </w:r>
      <w:r w:rsidR="0046130C">
        <w:rPr>
          <w:rFonts w:eastAsia="Calibri"/>
          <w:szCs w:val="22"/>
          <w:lang w:val="en-PH"/>
        </w:rPr>
        <w:tab/>
      </w:r>
      <w:r w:rsidRPr="00A00833">
        <w:rPr>
          <w:rFonts w:eastAsia="Calibri"/>
          <w:szCs w:val="22"/>
          <w:lang w:val="en-PH"/>
        </w:rPr>
        <w:t xml:space="preserve">a notice of intention to adopt a code, adopt a new edition of a code, or modify an existing code must be published in the State Register as a Notice of General Interest, on websites published by the Department of Labor, Licensing and Regulation, and must be </w:t>
      </w:r>
      <w:r w:rsidRPr="00A00833">
        <w:rPr>
          <w:rFonts w:eastAsia="Calibri"/>
          <w:szCs w:val="22"/>
          <w:lang w:val="en-PH"/>
        </w:rPr>
        <w:lastRenderedPageBreak/>
        <w:t>provided to each local building department with instructions for its prominent display;</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trike/>
          <w:szCs w:val="22"/>
          <w:lang w:val="en-PH"/>
        </w:rPr>
        <w:t>(2)</w:t>
      </w:r>
      <w:r w:rsidRPr="00A00833">
        <w:rPr>
          <w:rFonts w:eastAsia="Calibri"/>
          <w:szCs w:val="22"/>
          <w:u w:val="single"/>
          <w:lang w:val="en-PH"/>
        </w:rPr>
        <w:t>(b)</w:t>
      </w:r>
      <w:r w:rsidR="0046130C">
        <w:rPr>
          <w:rFonts w:eastAsia="Calibri"/>
          <w:szCs w:val="22"/>
          <w:lang w:val="en-PH"/>
        </w:rPr>
        <w:tab/>
      </w:r>
      <w:r w:rsidRPr="00A00833">
        <w:rPr>
          <w:rFonts w:eastAsia="Calibri"/>
          <w:szCs w:val="22"/>
          <w:lang w:val="en-PH"/>
        </w:rPr>
        <w:t>the notice must include:</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zCs w:val="22"/>
          <w:lang w:val="en-PH"/>
        </w:rPr>
        <w:tab/>
      </w:r>
      <w:r w:rsidRPr="00A00833">
        <w:rPr>
          <w:rFonts w:eastAsia="Calibri"/>
          <w:strike/>
          <w:szCs w:val="22"/>
          <w:lang w:val="en-PH"/>
        </w:rPr>
        <w:t>(a)</w:t>
      </w:r>
      <w:r w:rsidRPr="00A00833">
        <w:rPr>
          <w:rFonts w:eastAsia="Calibri"/>
          <w:szCs w:val="22"/>
          <w:u w:val="single"/>
          <w:lang w:val="en-PH"/>
        </w:rPr>
        <w:t>(i)</w:t>
      </w:r>
      <w:r w:rsidR="0046130C">
        <w:rPr>
          <w:rFonts w:eastAsia="Calibri"/>
          <w:szCs w:val="22"/>
          <w:lang w:val="en-PH"/>
        </w:rPr>
        <w:tab/>
      </w:r>
      <w:r w:rsidRPr="00A00833">
        <w:rPr>
          <w:rFonts w:eastAsia="Calibri"/>
          <w:szCs w:val="22"/>
          <w:lang w:val="en-PH"/>
        </w:rPr>
        <w:t>the address to which interested persons may submit written comments; and</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zCs w:val="22"/>
          <w:lang w:val="en-PH"/>
        </w:rPr>
        <w:tab/>
      </w:r>
      <w:r w:rsidRPr="00A00833">
        <w:rPr>
          <w:rFonts w:eastAsia="Calibri"/>
          <w:strike/>
          <w:szCs w:val="22"/>
          <w:lang w:val="en-PH"/>
        </w:rPr>
        <w:t>(b)</w:t>
      </w:r>
      <w:r w:rsidRPr="00A00833">
        <w:rPr>
          <w:rFonts w:eastAsia="Calibri"/>
          <w:szCs w:val="22"/>
          <w:u w:val="single"/>
          <w:lang w:val="en-PH"/>
        </w:rPr>
        <w:t>(ii)</w:t>
      </w:r>
      <w:r w:rsidR="0046130C">
        <w:rPr>
          <w:rFonts w:eastAsia="Calibri"/>
          <w:szCs w:val="22"/>
          <w:lang w:val="en-PH"/>
        </w:rPr>
        <w:tab/>
      </w:r>
      <w:r w:rsidRPr="00A00833">
        <w:rPr>
          <w:rFonts w:eastAsia="Calibri"/>
          <w:szCs w:val="22"/>
          <w:lang w:val="en-PH"/>
        </w:rPr>
        <w:t>a period of not less than one hundred eighty days during which comments may be received;</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trike/>
          <w:szCs w:val="22"/>
          <w:lang w:val="en-PH"/>
        </w:rPr>
        <w:t>(3)</w:t>
      </w:r>
      <w:r w:rsidRPr="00A00833">
        <w:rPr>
          <w:rFonts w:eastAsia="Calibri"/>
          <w:szCs w:val="22"/>
          <w:u w:val="single"/>
          <w:lang w:val="en-PH"/>
        </w:rPr>
        <w:t>(c)</w:t>
      </w:r>
      <w:r w:rsidR="0046130C">
        <w:rPr>
          <w:rFonts w:eastAsia="Calibri"/>
          <w:szCs w:val="22"/>
          <w:lang w:val="en-PH"/>
        </w:rPr>
        <w:tab/>
      </w:r>
      <w:r w:rsidRPr="00A00833">
        <w:rPr>
          <w:rFonts w:eastAsia="Calibri"/>
          <w:szCs w:val="22"/>
          <w:lang w:val="en-PH"/>
        </w:rPr>
        <w:t>comments must be assigned to a study committee appointed by the council which shall publish Notice of General Interest in the same manner as provided in item (1) setting out the committee</w:t>
      </w:r>
      <w:r w:rsidR="00794E29">
        <w:rPr>
          <w:rFonts w:eastAsia="Calibri"/>
          <w:szCs w:val="22"/>
          <w:lang w:val="en-PH"/>
        </w:rPr>
        <w:t>’</w:t>
      </w:r>
      <w:r w:rsidRPr="00A00833">
        <w:rPr>
          <w:rFonts w:eastAsia="Calibri"/>
          <w:szCs w:val="22"/>
          <w:lang w:val="en-PH"/>
        </w:rPr>
        <w:t>s scope of review. The notice must give instructions for filing an intention to appear before or provide evidence or comments to the committee, or both. The committee must be comprised of at least three people with different technical backgrounds; and</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trike/>
          <w:szCs w:val="22"/>
          <w:lang w:val="en-PH"/>
        </w:rPr>
        <w:t>(4)</w:t>
      </w:r>
      <w:r w:rsidRPr="00A00833">
        <w:rPr>
          <w:rFonts w:eastAsia="Calibri"/>
          <w:szCs w:val="22"/>
          <w:u w:val="single"/>
          <w:lang w:val="en-PH"/>
        </w:rPr>
        <w:t>(d)</w:t>
      </w:r>
      <w:r w:rsidR="0046130C">
        <w:rPr>
          <w:rFonts w:eastAsia="Calibri"/>
          <w:szCs w:val="22"/>
          <w:lang w:val="en-PH"/>
        </w:rPr>
        <w:tab/>
      </w:r>
      <w:r w:rsidRPr="00A00833">
        <w:rPr>
          <w:rFonts w:eastAsia="Calibri"/>
          <w:szCs w:val="22"/>
          <w:lang w:val="en-PH"/>
        </w:rPr>
        <w:t>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w:t>
      </w:r>
      <w:r w:rsidRPr="00A00833">
        <w:rPr>
          <w:rFonts w:eastAsia="Calibri"/>
          <w:szCs w:val="22"/>
          <w:u w:val="single"/>
          <w:lang w:val="en-PH"/>
        </w:rPr>
        <w:t>, deny,</w:t>
      </w:r>
      <w:r w:rsidRPr="00A00833">
        <w:rPr>
          <w:rFonts w:eastAsia="Calibri"/>
          <w:szCs w:val="22"/>
          <w:lang w:val="en-PH"/>
        </w:rPr>
        <w:t xml:space="preserve"> or amend the code </w:t>
      </w:r>
      <w:r w:rsidRPr="00A00833">
        <w:rPr>
          <w:rFonts w:eastAsia="Calibri"/>
          <w:szCs w:val="22"/>
          <w:u w:val="single"/>
          <w:lang w:val="en-PH"/>
        </w:rPr>
        <w:t>committee</w:t>
      </w:r>
      <w:r w:rsidR="00794E29">
        <w:rPr>
          <w:rFonts w:eastAsia="Calibri"/>
          <w:szCs w:val="22"/>
          <w:u w:val="single"/>
          <w:lang w:val="en-PH"/>
        </w:rPr>
        <w:t>’</w:t>
      </w:r>
      <w:r w:rsidRPr="00A00833">
        <w:rPr>
          <w:rFonts w:eastAsia="Calibri"/>
          <w:szCs w:val="22"/>
          <w:u w:val="single"/>
          <w:lang w:val="en-PH"/>
        </w:rPr>
        <w:t>s report of recommendations with at least a two</w:t>
      </w:r>
      <w:r w:rsidR="00794E29">
        <w:rPr>
          <w:rFonts w:eastAsia="Calibri"/>
          <w:szCs w:val="22"/>
          <w:u w:val="single"/>
          <w:lang w:val="en-PH"/>
        </w:rPr>
        <w:noBreakHyphen/>
      </w:r>
      <w:r w:rsidRPr="00A00833">
        <w:rPr>
          <w:rFonts w:eastAsia="Calibri"/>
          <w:szCs w:val="22"/>
          <w:u w:val="single"/>
          <w:lang w:val="en-PH"/>
        </w:rPr>
        <w:t>thirds majority vote</w:t>
      </w:r>
      <w:r w:rsidRPr="00A00833">
        <w:rPr>
          <w:rFonts w:eastAsia="Calibri"/>
          <w:szCs w:val="22"/>
          <w:lang w:val="en-PH"/>
        </w:rPr>
        <w:t xml:space="preserve"> after a finding on the record that the modifications provide a reasonable degree of public health</w:t>
      </w:r>
      <w:r w:rsidRPr="00A00833">
        <w:rPr>
          <w:rFonts w:eastAsia="Calibri"/>
          <w:strike/>
          <w:szCs w:val="22"/>
          <w:lang w:val="en-PH"/>
        </w:rPr>
        <w:t>,</w:t>
      </w:r>
      <w:r w:rsidRPr="00A00833">
        <w:rPr>
          <w:rFonts w:eastAsia="Calibri"/>
          <w:szCs w:val="22"/>
          <w:lang w:val="en-PH"/>
        </w:rPr>
        <w:t xml:space="preserve"> </w:t>
      </w:r>
      <w:r w:rsidRPr="00A00833">
        <w:rPr>
          <w:rFonts w:eastAsia="Calibri"/>
          <w:szCs w:val="22"/>
          <w:u w:val="single"/>
          <w:lang w:val="en-PH"/>
        </w:rPr>
        <w:t>and</w:t>
      </w:r>
      <w:r w:rsidRPr="00A00833">
        <w:rPr>
          <w:rFonts w:eastAsia="Calibri"/>
          <w:szCs w:val="22"/>
          <w:lang w:val="en-PH"/>
        </w:rPr>
        <w:t xml:space="preserve"> safety</w:t>
      </w:r>
      <w:r w:rsidRPr="00A00833">
        <w:rPr>
          <w:rFonts w:eastAsia="Calibri"/>
          <w:strike/>
          <w:szCs w:val="22"/>
          <w:lang w:val="en-PH"/>
        </w:rPr>
        <w:t>, and welfare</w:t>
      </w:r>
      <w:r w:rsidRPr="00A00833">
        <w:rPr>
          <w:rFonts w:eastAsia="Calibri"/>
          <w:szCs w:val="22"/>
          <w:lang w:val="en-PH"/>
        </w:rPr>
        <w:t xml:space="preserve">. </w:t>
      </w:r>
      <w:r w:rsidRPr="00A00833">
        <w:rPr>
          <w:rFonts w:eastAsiaTheme="minorHAnsi"/>
          <w:color w:val="000000" w:themeColor="text1"/>
          <w:szCs w:val="27"/>
          <w:u w:val="single" w:color="000000" w:themeColor="text1"/>
        </w:rPr>
        <w:t>The council must provide a preliminary fiscal impact statement reflecting estimates of costs to be incurred by the public and state agencies in complying with the proposed modifications or amendments.</w:t>
      </w:r>
    </w:p>
    <w:p w:rsidR="009C512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0833">
        <w:rPr>
          <w:rFonts w:eastAsia="Calibri"/>
          <w:szCs w:val="22"/>
          <w:lang w:val="en-PH"/>
        </w:rPr>
        <w:tab/>
      </w:r>
      <w:r w:rsidRPr="00A00833">
        <w:rPr>
          <w:rFonts w:eastAsia="Calibri"/>
          <w:szCs w:val="22"/>
          <w:u w:val="single"/>
          <w:lang w:val="en-PH"/>
        </w:rPr>
        <w:t>(2)</w:t>
      </w:r>
      <w:r w:rsidR="0046130C">
        <w:rPr>
          <w:rFonts w:eastAsia="Calibri"/>
          <w:szCs w:val="22"/>
          <w:lang w:val="en-PH"/>
        </w:rPr>
        <w:tab/>
      </w:r>
      <w:r w:rsidRPr="00A00833">
        <w:rPr>
          <w:rFonts w:eastAsia="Calibri"/>
          <w:szCs w:val="22"/>
          <w:lang w:val="en-PH"/>
        </w:rPr>
        <w:t>Any amended or modified code shall be codified as provided for in Section 1</w:t>
      </w:r>
      <w:r w:rsidR="00794E29">
        <w:rPr>
          <w:rFonts w:eastAsia="Calibri"/>
          <w:szCs w:val="22"/>
          <w:lang w:val="en-PH"/>
        </w:rPr>
        <w:noBreakHyphen/>
      </w:r>
      <w:r w:rsidRPr="00A00833">
        <w:rPr>
          <w:rFonts w:eastAsia="Calibri"/>
          <w:szCs w:val="22"/>
          <w:lang w:val="en-PH"/>
        </w:rPr>
        <w:t>23</w:t>
      </w:r>
      <w:r w:rsidR="00794E29">
        <w:rPr>
          <w:rFonts w:eastAsia="Calibri"/>
          <w:szCs w:val="22"/>
          <w:lang w:val="en-PH"/>
        </w:rPr>
        <w:noBreakHyphen/>
      </w:r>
      <w:r w:rsidRPr="00A00833">
        <w:rPr>
          <w:rFonts w:eastAsia="Calibri"/>
          <w:szCs w:val="22"/>
          <w:lang w:val="en-PH"/>
        </w:rPr>
        <w:t>90. The council shall determine whether the amended or modified code becomes effective on the first day of January or July.”</w:t>
      </w:r>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0833">
        <w:t>2</w:t>
      </w:r>
      <w:r>
        <w:t>.</w:t>
      </w:r>
      <w:r>
        <w:tab/>
        <w:t>This act takes effect upon approval by the Governor.</w:t>
      </w:r>
    </w:p>
    <w:p w:rsidR="00BE7CA6" w:rsidRDefault="00794E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A7E" w:rsidRDefault="00CE0A7E" w:rsidP="00CE0A7E">
      <w:pPr>
        <w:suppressAutoHyphens/>
      </w:pPr>
    </w:p>
    <w:sectPr w:rsidR="00CE0A7E" w:rsidSect="00CE0A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123" w:rsidRDefault="009C5123" w:rsidP="009F0C77">
      <w:r>
        <w:separator/>
      </w:r>
    </w:p>
  </w:endnote>
  <w:endnote w:type="continuationSeparator" w:id="0">
    <w:p w:rsidR="009C5123" w:rsidRDefault="009C5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3144B1-E581-46F8-8015-35069CEDF67C}"/>
    <w:embedBold r:id="rId2" w:fontKey="{12903409-A197-450D-9E84-6DD408D2FB36}"/>
  </w:font>
  <w:font w:name="Calibri">
    <w:panose1 w:val="020F0502020204030204"/>
    <w:charset w:val="00"/>
    <w:family w:val="swiss"/>
    <w:pitch w:val="variable"/>
    <w:sig w:usb0="E0002EFF" w:usb1="C000247B" w:usb2="00000009" w:usb3="00000000" w:csb0="000001FF" w:csb1="00000000"/>
    <w:embedRegular r:id="rId3" w:fontKey="{22C9BEE9-246D-4452-87D4-55F2C16C4BDC}"/>
  </w:font>
  <w:font w:name="Segoe UI">
    <w:panose1 w:val="020B0502040204020203"/>
    <w:charset w:val="00"/>
    <w:family w:val="swiss"/>
    <w:pitch w:val="variable"/>
    <w:sig w:usb0="E4002EFF" w:usb1="C000E47F" w:usb2="00000009" w:usb3="00000000" w:csb0="000001FF" w:csb1="00000000"/>
    <w:embedRegular r:id="rId4" w:fontKey="{E0E526D3-A25B-4643-A513-DE043DFB684F}"/>
  </w:font>
  <w:font w:name="Cambria">
    <w:panose1 w:val="02040503050406030204"/>
    <w:charset w:val="00"/>
    <w:family w:val="roman"/>
    <w:pitch w:val="variable"/>
    <w:sig w:usb0="E00006FF" w:usb1="420024FF" w:usb2="02000000" w:usb3="00000000" w:csb0="0000019F" w:csb1="00000000"/>
    <w:embedRegular r:id="rId5" w:fontKey="{39ED3D91-2B99-4B11-8140-93905C5A5C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CA6" w:rsidRPr="00CE0A7E" w:rsidRDefault="00CE0A7E" w:rsidP="00CE0A7E">
    <w:pPr>
      <w:pStyle w:val="Footer"/>
      <w:tabs>
        <w:tab w:val="clear" w:pos="4680"/>
        <w:tab w:val="clear" w:pos="9360"/>
        <w:tab w:val="center" w:pos="2995"/>
      </w:tabs>
      <w:spacing w:before="120"/>
    </w:pPr>
    <w:r>
      <w:t>[4060]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123" w:rsidRDefault="009C5123" w:rsidP="009F0C77">
      <w:r>
        <w:separator/>
      </w:r>
    </w:p>
  </w:footnote>
  <w:footnote w:type="continuationSeparator" w:id="0">
    <w:p w:rsidR="009C5123" w:rsidRDefault="009C5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8ZW21"/>
    <w:docVar w:name="CoverBillType" w:val="b"/>
    <w:docVar w:name="DocPath" w:val="L:\Council\bills\CC\16008ZW21.DOCX"/>
    <w:docVar w:name="dvBillNumber" w:val="4060"/>
    <w:docVar w:name="dvBillNumberPrefix" w:val="H. "/>
    <w:docVar w:name="dvOriginalBody" w:val="House"/>
    <w:docVar w:name="dvSteno" w:val="CC"/>
    <w:docVar w:name="NameofBody" w:val="h"/>
    <w:docVar w:name="vGroup2" w:val="Council"/>
  </w:docVars>
  <w:rsids>
    <w:rsidRoot w:val="009C51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026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30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5B1"/>
    <w:rsid w:val="006D58AA"/>
    <w:rsid w:val="00734F00"/>
    <w:rsid w:val="00736959"/>
    <w:rsid w:val="00794E29"/>
    <w:rsid w:val="007A70AE"/>
    <w:rsid w:val="008362E8"/>
    <w:rsid w:val="0085786E"/>
    <w:rsid w:val="008A1768"/>
    <w:rsid w:val="008A489F"/>
    <w:rsid w:val="008A5DCE"/>
    <w:rsid w:val="008F0F33"/>
    <w:rsid w:val="008F4429"/>
    <w:rsid w:val="0094021A"/>
    <w:rsid w:val="009B44AF"/>
    <w:rsid w:val="009C5123"/>
    <w:rsid w:val="009C6A0B"/>
    <w:rsid w:val="009F0C77"/>
    <w:rsid w:val="009F4DD1"/>
    <w:rsid w:val="00A00833"/>
    <w:rsid w:val="00A02543"/>
    <w:rsid w:val="00A41684"/>
    <w:rsid w:val="00A5703C"/>
    <w:rsid w:val="00A64E80"/>
    <w:rsid w:val="00A72BCD"/>
    <w:rsid w:val="00A741D9"/>
    <w:rsid w:val="00A833AB"/>
    <w:rsid w:val="00A9741D"/>
    <w:rsid w:val="00AB604A"/>
    <w:rsid w:val="00AC34A2"/>
    <w:rsid w:val="00AD1C9A"/>
    <w:rsid w:val="00AD4B17"/>
    <w:rsid w:val="00B412D4"/>
    <w:rsid w:val="00B64FFF"/>
    <w:rsid w:val="00BE3C22"/>
    <w:rsid w:val="00BE7CA6"/>
    <w:rsid w:val="00C0345E"/>
    <w:rsid w:val="00C21ABE"/>
    <w:rsid w:val="00C31C95"/>
    <w:rsid w:val="00C3483A"/>
    <w:rsid w:val="00C74E9D"/>
    <w:rsid w:val="00C826DD"/>
    <w:rsid w:val="00C82FD3"/>
    <w:rsid w:val="00C92819"/>
    <w:rsid w:val="00CC6B7B"/>
    <w:rsid w:val="00CD2089"/>
    <w:rsid w:val="00CE0A7E"/>
    <w:rsid w:val="00D73A67"/>
    <w:rsid w:val="00D970A9"/>
    <w:rsid w:val="00DF3845"/>
    <w:rsid w:val="00E41911"/>
    <w:rsid w:val="00E44B57"/>
    <w:rsid w:val="00E6151B"/>
    <w:rsid w:val="00E92EEF"/>
    <w:rsid w:val="00EF2368"/>
    <w:rsid w:val="00F24442"/>
    <w:rsid w:val="00F50AE3"/>
    <w:rsid w:val="00F655B7"/>
    <w:rsid w:val="00F656BA"/>
    <w:rsid w:val="00F67CF1"/>
    <w:rsid w:val="00F728AA"/>
    <w:rsid w:val="00F840F0"/>
    <w:rsid w:val="00FB0D0D"/>
    <w:rsid w:val="00FB43B4"/>
    <w:rsid w:val="00FB6B0B"/>
    <w:rsid w:val="00FC3C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A1767-0AE4-4C87-B51D-A6EF465E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0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2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D64F1-320D-4BA0-B5BA-50E92BB22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2728</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4060 Text of Previous Version (Mar. 11, 2021) - South Carolina Legislature Online</dc:title>
  <dc:creator>Chris Charlton</dc:creator>
  <cp:lastModifiedBy>S Wilson</cp:lastModifiedBy>
  <cp:revision>2</cp:revision>
  <cp:lastPrinted>2021-03-09T19:37:00Z</cp:lastPrinted>
  <dcterms:created xsi:type="dcterms:W3CDTF">2021-03-11T15:23:00Z</dcterms:created>
  <dcterms:modified xsi:type="dcterms:W3CDTF">2021-03-11T15:23:00Z</dcterms:modified>
</cp:coreProperties>
</file>