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285DD6" w14:textId="081BC193" w:rsidR="00B80951" w:rsidRDefault="00003F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34A078BE" w14:textId="650CFBBF" w:rsidR="00B80951" w:rsidRDefault="00003F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w:t>
      </w:r>
      <w:r w:rsidR="00B80951">
        <w:rPr>
          <w:rFonts w:eastAsia="Times New Roman"/>
        </w:rPr>
        <w:t>, 2022</w:t>
      </w:r>
    </w:p>
    <w:p w14:paraId="0A57887E" w14:textId="2DAABBB7" w:rsidR="00B80951" w:rsidRDefault="00B809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F0316D" w14:textId="027A69E0" w:rsidR="00B80951" w:rsidRPr="00B80951" w:rsidRDefault="00B80951" w:rsidP="00B80951">
      <w:pPr>
        <w:tabs>
          <w:tab w:val="right" w:pos="5933"/>
        </w:tabs>
        <w:suppressAutoHyphens/>
        <w:jc w:val="both"/>
        <w:rPr>
          <w:rFonts w:eastAsia="Times New Roman"/>
        </w:rPr>
      </w:pPr>
      <w:r>
        <w:rPr>
          <w:rFonts w:eastAsia="Times New Roman"/>
        </w:rPr>
        <w:tab/>
      </w:r>
      <w:r>
        <w:rPr>
          <w:rFonts w:eastAsia="Times New Roman"/>
          <w:b/>
          <w:sz w:val="36"/>
        </w:rPr>
        <w:t>S. 429</w:t>
      </w:r>
    </w:p>
    <w:p w14:paraId="57D88B47" w14:textId="47F92568" w:rsidR="00B80951" w:rsidRDefault="00B809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1CE557" w14:textId="669AE282" w:rsidR="00B80951" w:rsidRDefault="00B80951" w:rsidP="00B80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Alexander</w:t>
      </w:r>
      <w:r w:rsidR="00EA73E8">
        <w:t>,</w:t>
      </w:r>
      <w:r>
        <w:t xml:space="preserve"> Senn</w:t>
      </w:r>
      <w:r w:rsidR="00EA73E8">
        <w:t>, and Loftis</w:t>
      </w:r>
    </w:p>
    <w:p w14:paraId="43B6C69A" w14:textId="7ED6037E" w:rsidR="00B80951" w:rsidRDefault="00B809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50FDB2" w14:textId="2DEC6C08" w:rsidR="00B80951" w:rsidRDefault="00003F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w:t>
      </w:r>
      <w:r w:rsidR="00B80951">
        <w:rPr>
          <w:rFonts w:eastAsia="Times New Roman"/>
        </w:rPr>
        <w:t>/22--S.</w:t>
      </w:r>
    </w:p>
    <w:p w14:paraId="31629749" w14:textId="39813E62" w:rsidR="00B80951" w:rsidRDefault="00B809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571D7D99" w14:textId="48DD5F81" w:rsidR="00B80951" w:rsidRPr="00B80951" w:rsidRDefault="00B80951" w:rsidP="00B80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AE5F5A5" w14:textId="040571B1" w:rsidR="00B80951" w:rsidRDefault="00B809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C9778A" w14:textId="3D0C34A9" w:rsidR="00B80951" w:rsidRPr="00B80951" w:rsidRDefault="00B809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CDB617" w14:textId="7FAC5007" w:rsidR="00B80951" w:rsidRDefault="00B809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871209" w14:textId="77777777" w:rsidR="00B80951" w:rsidRDefault="00B809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B0DD86" w14:textId="77777777" w:rsidR="00B80951" w:rsidRDefault="00B809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80951" w:rsidSect="00B80951">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4221F067" w14:textId="07671F4C" w:rsidR="006633A3" w:rsidRPr="00522CE0" w:rsidRDefault="006633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041BB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A8966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9F7DA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A385D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53839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EB3D6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A039B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D30762" w14:textId="77777777" w:rsidR="00522CE0" w:rsidRPr="008F023B" w:rsidRDefault="00522CE0" w:rsidP="00663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A0785">
        <w:rPr>
          <w:rFonts w:eastAsia="Times New Roman"/>
          <w:b/>
          <w:sz w:val="30"/>
          <w:szCs w:val="30"/>
        </w:rPr>
        <w:t>BILL</w:t>
      </w:r>
    </w:p>
    <w:p w14:paraId="56CF15A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7E02A7" w14:textId="6B7833D3" w:rsidR="00522CE0" w:rsidRPr="00522CE0" w:rsidRDefault="00633D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AMEND </w:t>
      </w:r>
      <w:r w:rsidR="0064317F">
        <w:t>ARTICLE 1, CHAPTER 3, TITLE 16 OF THE 1976 CODE, RELATING TO HOMICIDE</w:t>
      </w:r>
      <w:r>
        <w:t>, BY ADDING SECTION 16</w:t>
      </w:r>
      <w:r w:rsidR="006F10D9">
        <w:noBreakHyphen/>
      </w:r>
      <w:r>
        <w:t>3</w:t>
      </w:r>
      <w:r w:rsidR="006F10D9">
        <w:noBreakHyphen/>
      </w:r>
      <w:r>
        <w:t>80</w:t>
      </w:r>
      <w:r w:rsidR="0064317F">
        <w:t>,</w:t>
      </w:r>
      <w:r>
        <w:t xml:space="preserve"> </w:t>
      </w:r>
      <w:r w:rsidR="00494C44">
        <w:rPr>
          <w:rFonts w:eastAsia="Times New Roman"/>
        </w:rPr>
        <w:t>TO CREATE THE OFFENSE OF DRUG-INDUCED HOMICIDE, TO PROVIDE A PENALTY FOR A VIOLATION, AND TO PROHIBIT AN AFFIRMATIVE DEFENSE</w:t>
      </w:r>
      <w:r w:rsidR="002A7C37">
        <w:rPr>
          <w:rFonts w:eastAsia="Times New Roman"/>
        </w:rPr>
        <w:t>; AND TO AMEND SECTION 16-1-10(D) OF THE 1976 CODE, RELATING TO A LIST OF EXCEPTIONS FOR FELONIES AND MISDEMEANORS, TO ADD DRUG-INDUCED HOMICIDE</w:t>
      </w:r>
      <w:r>
        <w:t>.</w:t>
      </w:r>
      <w:bookmarkEnd w:id="1"/>
    </w:p>
    <w:p w14:paraId="3A38A4D9" w14:textId="76C86455" w:rsidR="00522CE0" w:rsidRDefault="00003F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11F56171" w14:textId="77777777" w:rsidR="00003F63" w:rsidRDefault="00003F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18ED0E" w14:textId="77777777" w:rsidR="00FA0785" w:rsidRDefault="00FA07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94AEBDC" w14:textId="77777777" w:rsidR="00FA0785" w:rsidRDefault="00FA07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8A9ECB" w14:textId="77777777" w:rsidR="00003F63" w:rsidRPr="004E4BE7" w:rsidRDefault="00003F63" w:rsidP="00003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4E4BE7">
        <w:rPr>
          <w:rFonts w:eastAsia="Times New Roman"/>
          <w:snapToGrid w:val="0"/>
          <w:szCs w:val="20"/>
        </w:rPr>
        <w:t>SECTION</w:t>
      </w:r>
      <w:r w:rsidRPr="004E4BE7">
        <w:rPr>
          <w:rFonts w:eastAsia="Times New Roman"/>
          <w:snapToGrid w:val="0"/>
          <w:szCs w:val="20"/>
        </w:rPr>
        <w:tab/>
        <w:t>1.</w:t>
      </w:r>
      <w:r w:rsidRPr="004E4BE7">
        <w:rPr>
          <w:rFonts w:eastAsia="Times New Roman"/>
          <w:snapToGrid w:val="0"/>
          <w:szCs w:val="20"/>
        </w:rPr>
        <w:tab/>
        <w:t>Article 1, Chapter 3, Title 16 of the 1976 Code is amended by adding:</w:t>
      </w:r>
    </w:p>
    <w:p w14:paraId="75FA92C8" w14:textId="77777777" w:rsidR="00003F63" w:rsidRPr="004E4BE7" w:rsidRDefault="00003F63" w:rsidP="00003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28DDF5F9" w14:textId="77777777" w:rsidR="00003F63" w:rsidRPr="004E4BE7" w:rsidRDefault="00003F63" w:rsidP="00003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4E4BE7">
        <w:rPr>
          <w:rFonts w:eastAsia="Times New Roman"/>
          <w:snapToGrid w:val="0"/>
          <w:szCs w:val="20"/>
        </w:rPr>
        <w:tab/>
        <w:t>“Section 16</w:t>
      </w:r>
      <w:r>
        <w:rPr>
          <w:rFonts w:eastAsia="Times New Roman"/>
          <w:snapToGrid w:val="0"/>
          <w:szCs w:val="20"/>
        </w:rPr>
        <w:t>-</w:t>
      </w:r>
      <w:r w:rsidRPr="004E4BE7">
        <w:rPr>
          <w:rFonts w:eastAsia="Times New Roman"/>
          <w:snapToGrid w:val="0"/>
          <w:szCs w:val="20"/>
        </w:rPr>
        <w:t>3</w:t>
      </w:r>
      <w:r>
        <w:rPr>
          <w:rFonts w:eastAsia="Times New Roman"/>
          <w:snapToGrid w:val="0"/>
          <w:szCs w:val="20"/>
        </w:rPr>
        <w:t>-</w:t>
      </w:r>
      <w:r w:rsidRPr="004E4BE7">
        <w:rPr>
          <w:rFonts w:eastAsia="Times New Roman"/>
          <w:snapToGrid w:val="0"/>
          <w:szCs w:val="20"/>
        </w:rPr>
        <w:t>80.</w:t>
      </w:r>
      <w:r w:rsidRPr="004E4BE7">
        <w:rPr>
          <w:rFonts w:eastAsia="Times New Roman"/>
          <w:snapToGrid w:val="0"/>
          <w:szCs w:val="20"/>
        </w:rPr>
        <w:tab/>
        <w:t>(A)</w:t>
      </w:r>
      <w:r w:rsidRPr="004E4BE7">
        <w:rPr>
          <w:rFonts w:eastAsia="Times New Roman"/>
          <w:snapToGrid w:val="0"/>
          <w:szCs w:val="20"/>
        </w:rPr>
        <w:tab/>
        <w:t>A person who unlawfully delivers</w:t>
      </w:r>
      <w:r>
        <w:rPr>
          <w:rFonts w:eastAsia="Times New Roman"/>
          <w:snapToGrid w:val="0"/>
          <w:szCs w:val="20"/>
        </w:rPr>
        <w:t>, dispenses, or otherwise provides</w:t>
      </w:r>
      <w:r w:rsidRPr="004E4BE7">
        <w:rPr>
          <w:rFonts w:eastAsia="Times New Roman"/>
          <w:snapToGrid w:val="0"/>
          <w:szCs w:val="20"/>
        </w:rPr>
        <w:t xml:space="preserve"> a </w:t>
      </w:r>
      <w:r>
        <w:rPr>
          <w:rFonts w:eastAsia="Times New Roman"/>
          <w:snapToGrid w:val="0"/>
          <w:szCs w:val="20"/>
        </w:rPr>
        <w:t>fentanyl or a fentanyl-related substance as defined in Section 44-53-190(B)</w:t>
      </w:r>
      <w:r w:rsidRPr="004E4BE7">
        <w:rPr>
          <w:rFonts w:eastAsia="Times New Roman"/>
          <w:snapToGrid w:val="0"/>
          <w:szCs w:val="20"/>
        </w:rPr>
        <w:t xml:space="preserve"> </w:t>
      </w:r>
      <w:r w:rsidRPr="00790146">
        <w:rPr>
          <w:rFonts w:eastAsia="Times New Roman"/>
          <w:snapToGrid w:val="0"/>
          <w:szCs w:val="20"/>
        </w:rPr>
        <w:t>and Section 44-53-210(c)(6)</w:t>
      </w:r>
      <w:r>
        <w:rPr>
          <w:rFonts w:eastAsia="Times New Roman"/>
          <w:snapToGrid w:val="0"/>
          <w:szCs w:val="20"/>
        </w:rPr>
        <w:t xml:space="preserve"> </w:t>
      </w:r>
      <w:r w:rsidRPr="004E4BE7">
        <w:rPr>
          <w:rFonts w:eastAsia="Times New Roman"/>
          <w:snapToGrid w:val="0"/>
          <w:szCs w:val="20"/>
        </w:rPr>
        <w:t>to another person, in violation of the provisions of Section 44</w:t>
      </w:r>
      <w:r>
        <w:rPr>
          <w:rFonts w:eastAsia="Times New Roman"/>
          <w:snapToGrid w:val="0"/>
          <w:szCs w:val="20"/>
        </w:rPr>
        <w:t>-</w:t>
      </w:r>
      <w:r w:rsidRPr="004E4BE7">
        <w:rPr>
          <w:rFonts w:eastAsia="Times New Roman"/>
          <w:snapToGrid w:val="0"/>
          <w:szCs w:val="20"/>
        </w:rPr>
        <w:t>53</w:t>
      </w:r>
      <w:r>
        <w:rPr>
          <w:rFonts w:eastAsia="Times New Roman"/>
          <w:snapToGrid w:val="0"/>
          <w:szCs w:val="20"/>
        </w:rPr>
        <w:t>-</w:t>
      </w:r>
      <w:r w:rsidRPr="004E4BE7">
        <w:rPr>
          <w:rFonts w:eastAsia="Times New Roman"/>
          <w:snapToGrid w:val="0"/>
          <w:szCs w:val="20"/>
        </w:rPr>
        <w:t xml:space="preserve">370, if the proximate cause of the death of </w:t>
      </w:r>
      <w:r>
        <w:rPr>
          <w:rFonts w:eastAsia="Times New Roman"/>
          <w:snapToGrid w:val="0"/>
          <w:szCs w:val="20"/>
        </w:rPr>
        <w:t>any</w:t>
      </w:r>
      <w:r w:rsidRPr="004E4BE7">
        <w:rPr>
          <w:rFonts w:eastAsia="Times New Roman"/>
          <w:snapToGrid w:val="0"/>
          <w:szCs w:val="20"/>
        </w:rPr>
        <w:t xml:space="preserve"> other person is the injection, inhalation, absorption, or ingestion of any amount of the </w:t>
      </w:r>
      <w:r>
        <w:rPr>
          <w:rFonts w:eastAsia="Times New Roman"/>
          <w:snapToGrid w:val="0"/>
          <w:szCs w:val="20"/>
        </w:rPr>
        <w:t>fentanyl or fentanyl-related substance</w:t>
      </w:r>
      <w:r w:rsidRPr="004E4BE7">
        <w:rPr>
          <w:rFonts w:eastAsia="Times New Roman"/>
          <w:snapToGrid w:val="0"/>
          <w:szCs w:val="20"/>
        </w:rPr>
        <w:t xml:space="preserve">, commits the felony offense of </w:t>
      </w:r>
      <w:r>
        <w:rPr>
          <w:rFonts w:eastAsia="Times New Roman"/>
          <w:snapToGrid w:val="0"/>
          <w:szCs w:val="20"/>
        </w:rPr>
        <w:t>fentanyl-</w:t>
      </w:r>
      <w:r w:rsidRPr="004E4BE7">
        <w:rPr>
          <w:rFonts w:eastAsia="Times New Roman"/>
          <w:snapToGrid w:val="0"/>
          <w:szCs w:val="20"/>
        </w:rPr>
        <w:t>induced homicide.</w:t>
      </w:r>
    </w:p>
    <w:p w14:paraId="663219E9" w14:textId="77777777" w:rsidR="00003F63" w:rsidRPr="004E4BE7" w:rsidRDefault="00003F63" w:rsidP="00003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4E4BE7">
        <w:rPr>
          <w:rFonts w:eastAsia="Times New Roman"/>
          <w:snapToGrid w:val="0"/>
          <w:szCs w:val="20"/>
        </w:rPr>
        <w:tab/>
        <w:t>(B)</w:t>
      </w:r>
      <w:r w:rsidRPr="004E4BE7">
        <w:rPr>
          <w:rFonts w:eastAsia="Times New Roman"/>
          <w:snapToGrid w:val="0"/>
          <w:szCs w:val="20"/>
        </w:rPr>
        <w:tab/>
        <w:t xml:space="preserve">A person convicted of a </w:t>
      </w:r>
      <w:r>
        <w:rPr>
          <w:rFonts w:eastAsia="Times New Roman"/>
          <w:snapToGrid w:val="0"/>
          <w:szCs w:val="20"/>
        </w:rPr>
        <w:t>fentanyl-</w:t>
      </w:r>
      <w:r w:rsidRPr="004E4BE7">
        <w:rPr>
          <w:rFonts w:eastAsia="Times New Roman"/>
          <w:snapToGrid w:val="0"/>
          <w:szCs w:val="20"/>
        </w:rPr>
        <w:t>induced homicide pursuant to the provisions of this section must be impris</w:t>
      </w:r>
      <w:r>
        <w:rPr>
          <w:rFonts w:eastAsia="Times New Roman"/>
          <w:snapToGrid w:val="0"/>
          <w:szCs w:val="20"/>
        </w:rPr>
        <w:t>oned not more than thirty years</w:t>
      </w:r>
      <w:r w:rsidRPr="004E4BE7">
        <w:rPr>
          <w:rFonts w:eastAsia="Times New Roman"/>
          <w:snapToGrid w:val="0"/>
          <w:szCs w:val="20"/>
        </w:rPr>
        <w:t>.</w:t>
      </w:r>
    </w:p>
    <w:p w14:paraId="2B18F249" w14:textId="77777777" w:rsidR="00003F63" w:rsidRDefault="00003F63" w:rsidP="00003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4E4BE7">
        <w:rPr>
          <w:rFonts w:eastAsia="Times New Roman"/>
          <w:snapToGrid w:val="0"/>
          <w:szCs w:val="20"/>
        </w:rPr>
        <w:tab/>
        <w:t>(C)</w:t>
      </w:r>
      <w:r w:rsidRPr="004E4BE7">
        <w:rPr>
          <w:rFonts w:eastAsia="Times New Roman"/>
          <w:snapToGrid w:val="0"/>
          <w:szCs w:val="20"/>
        </w:rPr>
        <w:tab/>
        <w:t>It is not a defense pursuant to this section that a decedent contributed to his own death by his purposeful, knowing, reckless, or negligent injection, inhalation, absorption, or ingestion of the controlled substance or by his consenting to the administration of the controlled substance by another person.”</w:t>
      </w:r>
    </w:p>
    <w:p w14:paraId="4976C50B" w14:textId="08250CC7" w:rsidR="00003F63" w:rsidRPr="004E4BE7" w:rsidRDefault="00003F63" w:rsidP="00003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4E4BE7">
        <w:rPr>
          <w:rFonts w:eastAsia="Times New Roman"/>
          <w:snapToGrid w:val="0"/>
          <w:szCs w:val="20"/>
        </w:rPr>
        <w:lastRenderedPageBreak/>
        <w:t>SECTION</w:t>
      </w:r>
      <w:r w:rsidRPr="004E4BE7">
        <w:rPr>
          <w:rFonts w:eastAsia="Times New Roman"/>
          <w:snapToGrid w:val="0"/>
          <w:szCs w:val="20"/>
        </w:rPr>
        <w:tab/>
        <w:t>2.</w:t>
      </w:r>
      <w:r w:rsidRPr="004E4BE7">
        <w:rPr>
          <w:rFonts w:eastAsia="Times New Roman"/>
          <w:snapToGrid w:val="0"/>
          <w:szCs w:val="20"/>
        </w:rPr>
        <w:tab/>
        <w:t>Section 16-1-10(D) of the 1976 Code is amended by adding a new offense to read:</w:t>
      </w:r>
    </w:p>
    <w:p w14:paraId="6C720E23" w14:textId="77777777" w:rsidR="00003F63" w:rsidRPr="004E4BE7" w:rsidRDefault="00003F63" w:rsidP="00003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6E953811" w14:textId="77777777" w:rsidR="00003F63" w:rsidRDefault="00003F63" w:rsidP="00003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4E4BE7">
        <w:rPr>
          <w:rFonts w:eastAsia="Times New Roman"/>
          <w:snapToGrid w:val="0"/>
          <w:szCs w:val="20"/>
        </w:rPr>
        <w:tab/>
        <w:t>“</w:t>
      </w:r>
      <w:r>
        <w:rPr>
          <w:rFonts w:eastAsia="Times New Roman"/>
          <w:snapToGrid w:val="0"/>
          <w:szCs w:val="20"/>
        </w:rPr>
        <w:t>16-3-80 Fentanyl</w:t>
      </w:r>
      <w:r w:rsidRPr="004E4BE7">
        <w:rPr>
          <w:rFonts w:eastAsia="Times New Roman"/>
          <w:snapToGrid w:val="0"/>
          <w:szCs w:val="20"/>
        </w:rPr>
        <w:t>-induced homicide”</w:t>
      </w:r>
    </w:p>
    <w:p w14:paraId="6D94DEFB" w14:textId="77777777" w:rsidR="00003F63" w:rsidRPr="004E4BE7" w:rsidRDefault="00003F63" w:rsidP="00003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033B384D" w14:textId="77777777" w:rsidR="00003F63" w:rsidRPr="004E4BE7" w:rsidRDefault="00003F63" w:rsidP="00003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3</w:t>
      </w:r>
      <w:r w:rsidRPr="004E4BE7">
        <w:rPr>
          <w:rFonts w:eastAsia="Times New Roman"/>
          <w:snapToGrid w:val="0"/>
          <w:szCs w:val="20"/>
        </w:rPr>
        <w:t>.</w:t>
      </w:r>
      <w:r w:rsidRPr="004E4BE7">
        <w:rPr>
          <w:rFonts w:eastAsia="Times New Roman"/>
          <w:snapToGrid w:val="0"/>
          <w:szCs w:val="20"/>
        </w:rPr>
        <w:tab/>
        <w:t>Section 44</w:t>
      </w:r>
      <w:r w:rsidRPr="004E4BE7">
        <w:rPr>
          <w:rFonts w:eastAsia="Times New Roman"/>
          <w:snapToGrid w:val="0"/>
          <w:szCs w:val="20"/>
        </w:rPr>
        <w:noBreakHyphen/>
        <w:t>53</w:t>
      </w:r>
      <w:r w:rsidRPr="004E4BE7">
        <w:rPr>
          <w:rFonts w:eastAsia="Times New Roman"/>
          <w:snapToGrid w:val="0"/>
          <w:szCs w:val="20"/>
        </w:rPr>
        <w:noBreakHyphen/>
        <w:t>190(B) of the 1976 Code is amended by adding an appropriately numbered new item at the end to read:</w:t>
      </w:r>
    </w:p>
    <w:p w14:paraId="11EB91DB" w14:textId="77777777" w:rsidR="00003F63" w:rsidRPr="004E4BE7" w:rsidRDefault="00003F63" w:rsidP="00003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154734A9" w14:textId="77777777" w:rsidR="00003F63" w:rsidRPr="004E4BE7" w:rsidRDefault="00003F63" w:rsidP="00003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4E4BE7">
        <w:rPr>
          <w:rFonts w:eastAsia="Times New Roman"/>
          <w:snapToGrid w:val="0"/>
          <w:szCs w:val="20"/>
        </w:rPr>
        <w:tab/>
        <w:t>“__.</w:t>
      </w:r>
      <w:r w:rsidRPr="004E4BE7">
        <w:rPr>
          <w:rFonts w:eastAsia="Times New Roman"/>
          <w:snapToGrid w:val="0"/>
          <w:szCs w:val="20"/>
        </w:rPr>
        <w:tab/>
        <w:t>Fentanyl</w:t>
      </w:r>
      <w:r w:rsidRPr="004E4BE7">
        <w:rPr>
          <w:rFonts w:eastAsia="Times New Roman"/>
          <w:snapToGrid w:val="0"/>
          <w:szCs w:val="20"/>
        </w:rPr>
        <w:noBreakHyphen/>
        <w:t>related substances. Unless specifically excepted, listed in another schedule, or contained within a pharmaceutical product approved by the United States Food and Drug Administration, any material, compound, mixture, or preparation, including its salts, isomers, esters, or ethers, and salts of isomers, esters, or ethers, that is structurally related to fentanyl by one or more of the following modifications:</w:t>
      </w:r>
    </w:p>
    <w:p w14:paraId="67BC076A" w14:textId="77777777" w:rsidR="00003F63" w:rsidRPr="004E4BE7" w:rsidRDefault="00003F63" w:rsidP="00003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4E4BE7">
        <w:rPr>
          <w:rFonts w:eastAsia="Times New Roman"/>
          <w:snapToGrid w:val="0"/>
          <w:szCs w:val="20"/>
        </w:rPr>
        <w:tab/>
      </w:r>
      <w:r w:rsidRPr="004E4BE7">
        <w:rPr>
          <w:rFonts w:eastAsia="Times New Roman"/>
          <w:snapToGrid w:val="0"/>
          <w:szCs w:val="20"/>
        </w:rPr>
        <w:tab/>
        <w:t>a.</w:t>
      </w:r>
      <w:r w:rsidRPr="004E4BE7">
        <w:rPr>
          <w:rFonts w:eastAsia="Times New Roman"/>
          <w:snapToGrid w:val="0"/>
          <w:szCs w:val="20"/>
        </w:rPr>
        <w:tab/>
      </w:r>
      <w:r w:rsidRPr="004E4BE7">
        <w:rPr>
          <w:rFonts w:eastAsia="Times New Roman"/>
          <w:snapToGrid w:val="0"/>
          <w:szCs w:val="20"/>
        </w:rPr>
        <w:tab/>
        <w:t>replacement of the phenyl portion of the phenethyl group by any monocycle, whether or not further substituted in or on the monocycle;</w:t>
      </w:r>
    </w:p>
    <w:p w14:paraId="33756D69" w14:textId="77777777" w:rsidR="00003F63" w:rsidRPr="004E4BE7" w:rsidRDefault="00003F63" w:rsidP="00003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4E4BE7">
        <w:rPr>
          <w:rFonts w:eastAsia="Times New Roman"/>
          <w:snapToGrid w:val="0"/>
          <w:szCs w:val="20"/>
        </w:rPr>
        <w:tab/>
      </w:r>
      <w:r w:rsidRPr="004E4BE7">
        <w:rPr>
          <w:rFonts w:eastAsia="Times New Roman"/>
          <w:snapToGrid w:val="0"/>
          <w:szCs w:val="20"/>
        </w:rPr>
        <w:tab/>
        <w:t>b.</w:t>
      </w:r>
      <w:r w:rsidRPr="004E4BE7">
        <w:rPr>
          <w:rFonts w:eastAsia="Times New Roman"/>
          <w:snapToGrid w:val="0"/>
          <w:szCs w:val="20"/>
        </w:rPr>
        <w:tab/>
      </w:r>
      <w:r w:rsidRPr="004E4BE7">
        <w:rPr>
          <w:rFonts w:eastAsia="Times New Roman"/>
          <w:snapToGrid w:val="0"/>
          <w:szCs w:val="20"/>
        </w:rPr>
        <w:tab/>
        <w:t>substitution in or on the phenethyl group with alkyl, alkenyl, alkoxyl, hydroxyl, halo, haloalkyl, amino or nitro groups;</w:t>
      </w:r>
    </w:p>
    <w:p w14:paraId="3AF3314F" w14:textId="77777777" w:rsidR="00003F63" w:rsidRPr="004E4BE7" w:rsidRDefault="00003F63" w:rsidP="00003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4E4BE7">
        <w:rPr>
          <w:rFonts w:eastAsia="Times New Roman"/>
          <w:snapToGrid w:val="0"/>
          <w:szCs w:val="20"/>
        </w:rPr>
        <w:tab/>
      </w:r>
      <w:r w:rsidRPr="004E4BE7">
        <w:rPr>
          <w:rFonts w:eastAsia="Times New Roman"/>
          <w:snapToGrid w:val="0"/>
          <w:szCs w:val="20"/>
        </w:rPr>
        <w:tab/>
        <w:t>c.</w:t>
      </w:r>
      <w:r w:rsidRPr="004E4BE7">
        <w:rPr>
          <w:rFonts w:eastAsia="Times New Roman"/>
          <w:snapToGrid w:val="0"/>
          <w:szCs w:val="20"/>
        </w:rPr>
        <w:tab/>
      </w:r>
      <w:r w:rsidRPr="004E4BE7">
        <w:rPr>
          <w:rFonts w:eastAsia="Times New Roman"/>
          <w:snapToGrid w:val="0"/>
          <w:szCs w:val="20"/>
        </w:rPr>
        <w:tab/>
        <w:t>substitution in or on the piperidine ring with alkyl, alkenyl, alkoxyl, ester, ether, hydroxyl, halo, haloalkyl, amino or nitro groups;</w:t>
      </w:r>
    </w:p>
    <w:p w14:paraId="1EB76736" w14:textId="77777777" w:rsidR="00003F63" w:rsidRPr="004E4BE7" w:rsidRDefault="00003F63" w:rsidP="00003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4E4BE7">
        <w:rPr>
          <w:rFonts w:eastAsia="Times New Roman"/>
          <w:snapToGrid w:val="0"/>
          <w:szCs w:val="20"/>
        </w:rPr>
        <w:tab/>
      </w:r>
      <w:r w:rsidRPr="004E4BE7">
        <w:rPr>
          <w:rFonts w:eastAsia="Times New Roman"/>
          <w:snapToGrid w:val="0"/>
          <w:szCs w:val="20"/>
        </w:rPr>
        <w:tab/>
        <w:t>d.</w:t>
      </w:r>
      <w:r w:rsidRPr="004E4BE7">
        <w:rPr>
          <w:rFonts w:eastAsia="Times New Roman"/>
          <w:snapToGrid w:val="0"/>
          <w:szCs w:val="20"/>
        </w:rPr>
        <w:tab/>
      </w:r>
      <w:r w:rsidRPr="004E4BE7">
        <w:rPr>
          <w:rFonts w:eastAsia="Times New Roman"/>
          <w:snapToGrid w:val="0"/>
          <w:szCs w:val="20"/>
        </w:rPr>
        <w:tab/>
        <w:t>replacement of the aniline ring with any aromatic monocycle whether or not further substituted in or on the aromatic monocycle; and/or</w:t>
      </w:r>
    </w:p>
    <w:p w14:paraId="7CFF4F57" w14:textId="77777777" w:rsidR="00003F63" w:rsidRPr="004E4BE7" w:rsidRDefault="00003F63" w:rsidP="00003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4E4BE7">
        <w:rPr>
          <w:rFonts w:eastAsia="Times New Roman"/>
          <w:snapToGrid w:val="0"/>
          <w:szCs w:val="20"/>
        </w:rPr>
        <w:tab/>
      </w:r>
      <w:r w:rsidRPr="004E4BE7">
        <w:rPr>
          <w:rFonts w:eastAsia="Times New Roman"/>
          <w:snapToGrid w:val="0"/>
          <w:szCs w:val="20"/>
        </w:rPr>
        <w:tab/>
        <w:t>e.</w:t>
      </w:r>
      <w:r w:rsidRPr="004E4BE7">
        <w:rPr>
          <w:rFonts w:eastAsia="Times New Roman"/>
          <w:snapToGrid w:val="0"/>
          <w:szCs w:val="20"/>
        </w:rPr>
        <w:tab/>
      </w:r>
      <w:r w:rsidRPr="004E4BE7">
        <w:rPr>
          <w:rFonts w:eastAsia="Times New Roman"/>
          <w:snapToGrid w:val="0"/>
          <w:szCs w:val="20"/>
        </w:rPr>
        <w:tab/>
        <w:t>replacement of the N</w:t>
      </w:r>
      <w:r w:rsidRPr="004E4BE7">
        <w:rPr>
          <w:rFonts w:eastAsia="Times New Roman"/>
          <w:snapToGrid w:val="0"/>
          <w:szCs w:val="20"/>
        </w:rPr>
        <w:noBreakHyphen/>
        <w:t>propionyl group by another acyl group</w:t>
      </w:r>
      <w:r>
        <w:rPr>
          <w:rFonts w:eastAsia="Times New Roman"/>
          <w:snapToGrid w:val="0"/>
          <w:szCs w:val="20"/>
        </w:rPr>
        <w:t xml:space="preserve"> </w:t>
      </w:r>
      <w:r w:rsidRPr="00AF4EC6">
        <w:rPr>
          <w:rFonts w:eastAsia="Times New Roman"/>
          <w:snapToGrid w:val="0"/>
          <w:szCs w:val="20"/>
        </w:rPr>
        <w:t>or hydrogen</w:t>
      </w:r>
      <w:r w:rsidRPr="004E4BE7">
        <w:rPr>
          <w:rFonts w:eastAsia="Times New Roman"/>
          <w:snapToGrid w:val="0"/>
          <w:szCs w:val="20"/>
        </w:rPr>
        <w:t>.</w:t>
      </w:r>
    </w:p>
    <w:p w14:paraId="6993BCCE" w14:textId="77777777" w:rsidR="00003F63" w:rsidRPr="004E4BE7" w:rsidRDefault="00003F63" w:rsidP="00003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4E4BE7">
        <w:rPr>
          <w:rFonts w:eastAsia="Times New Roman"/>
          <w:snapToGrid w:val="0"/>
          <w:szCs w:val="20"/>
        </w:rPr>
        <w:tab/>
        <w:t>This definition includes, but is not limited to, the following substances:</w:t>
      </w:r>
      <w:r w:rsidRPr="004E4BE7">
        <w:rPr>
          <w:rFonts w:eastAsia="Times New Roman"/>
          <w:snapToGrid w:val="0"/>
          <w:szCs w:val="20"/>
        </w:rPr>
        <w:tab/>
        <w:t>Methylacetyl f</w:t>
      </w:r>
      <w:r>
        <w:rPr>
          <w:rFonts w:eastAsia="Times New Roman"/>
          <w:snapToGrid w:val="0"/>
          <w:szCs w:val="20"/>
        </w:rPr>
        <w:t>entanyl, Alpha</w:t>
      </w:r>
      <w:r>
        <w:rPr>
          <w:rFonts w:eastAsia="Times New Roman"/>
          <w:snapToGrid w:val="0"/>
          <w:szCs w:val="20"/>
        </w:rPr>
        <w:noBreakHyphen/>
        <w:t xml:space="preserve">methylfentanyl, </w:t>
      </w:r>
      <w:r w:rsidRPr="004E4BE7">
        <w:rPr>
          <w:rFonts w:eastAsia="Times New Roman"/>
          <w:snapToGrid w:val="0"/>
          <w:szCs w:val="20"/>
        </w:rPr>
        <w:t>Methylthiofentanyl, Benzylfentanyl, Beta</w:t>
      </w:r>
      <w:r w:rsidRPr="004E4BE7">
        <w:rPr>
          <w:rFonts w:eastAsia="Times New Roman"/>
          <w:snapToGrid w:val="0"/>
          <w:szCs w:val="20"/>
        </w:rPr>
        <w:noBreakHyphen/>
        <w:t>hydroxyfentanyl, Beta</w:t>
      </w:r>
      <w:r w:rsidRPr="004E4BE7">
        <w:rPr>
          <w:rFonts w:eastAsia="Times New Roman"/>
          <w:snapToGrid w:val="0"/>
          <w:szCs w:val="20"/>
        </w:rPr>
        <w:noBreakHyphen/>
        <w:t>hydroxy</w:t>
      </w:r>
      <w:r w:rsidRPr="004E4BE7">
        <w:rPr>
          <w:rFonts w:eastAsia="Times New Roman"/>
          <w:snapToGrid w:val="0"/>
          <w:szCs w:val="20"/>
        </w:rPr>
        <w:noBreakHyphen/>
        <w:t>3</w:t>
      </w:r>
      <w:r w:rsidRPr="004E4BE7">
        <w:rPr>
          <w:rFonts w:eastAsia="Times New Roman"/>
          <w:snapToGrid w:val="0"/>
          <w:szCs w:val="20"/>
        </w:rPr>
        <w:noBreakHyphen/>
        <w:t>met</w:t>
      </w:r>
      <w:r>
        <w:rPr>
          <w:rFonts w:eastAsia="Times New Roman"/>
          <w:snapToGrid w:val="0"/>
          <w:szCs w:val="20"/>
        </w:rPr>
        <w:t>hylfentanyl, 3</w:t>
      </w:r>
      <w:r>
        <w:rPr>
          <w:rFonts w:eastAsia="Times New Roman"/>
          <w:snapToGrid w:val="0"/>
          <w:szCs w:val="20"/>
        </w:rPr>
        <w:noBreakHyphen/>
        <w:t xml:space="preserve">Methylfentanyl, </w:t>
      </w:r>
      <w:r w:rsidRPr="004E4BE7">
        <w:rPr>
          <w:rFonts w:eastAsia="Times New Roman"/>
          <w:snapToGrid w:val="0"/>
          <w:szCs w:val="20"/>
        </w:rPr>
        <w:t>Methylthiofentanyl, Fluorofentanyl, Thenylfentanyl or Thienyl fentanyl, Thiofentanyl, Acetylfentanyl, Butyrylfentanyl, Beta</w:t>
      </w:r>
      <w:r w:rsidRPr="004E4BE7">
        <w:rPr>
          <w:rFonts w:eastAsia="Times New Roman"/>
          <w:snapToGrid w:val="0"/>
          <w:szCs w:val="20"/>
        </w:rPr>
        <w:noBreakHyphen/>
        <w:t>Hydroxythiofentanyl, Lofentanil, Ocfentanil, Ohmfentanyl, Benzodioxolefentanyl, Furanyl fentanyl, Pentanoyl fentanyl, Cyclopentyl fentanyl, Isobutyryl fentanyl, Remifentanil, Crotonyl fentanyl, Cyclopropyl fentanyl, Valeryl fentanyl, Fluorobutyryl fentanyl, Fluoroisobutyryl fentanyl, Methoxybutyryl Fentanyl, Isobutyryl fentanyl, Chloroisobutyryl fentanyl, Acryl fentanyl, Tetrahydrofuran fentanyl, Methoxyacetyl fentanyl, Fluorocrotonyl fentanyl, Cyclopentenyl fentanyl, Phenyl fentanyl, Cyclobutyl fentanyl, Methylcyclopropyl fenantyl.”</w:t>
      </w:r>
    </w:p>
    <w:p w14:paraId="36AC7E46" w14:textId="06ACE4D3" w:rsidR="00003F63" w:rsidRPr="004E4BE7" w:rsidRDefault="00003F63" w:rsidP="00003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lastRenderedPageBreak/>
        <w:t>SECTION</w:t>
      </w:r>
      <w:r>
        <w:rPr>
          <w:rFonts w:eastAsia="Times New Roman"/>
          <w:snapToGrid w:val="0"/>
          <w:szCs w:val="20"/>
        </w:rPr>
        <w:tab/>
        <w:t>4</w:t>
      </w:r>
      <w:r w:rsidRPr="004E4BE7">
        <w:rPr>
          <w:rFonts w:eastAsia="Times New Roman"/>
          <w:snapToGrid w:val="0"/>
          <w:szCs w:val="20"/>
        </w:rPr>
        <w:t>.</w:t>
      </w:r>
      <w:r w:rsidRPr="004E4BE7">
        <w:rPr>
          <w:rFonts w:eastAsia="Times New Roman"/>
          <w:snapToGrid w:val="0"/>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12750D89" w14:textId="77777777" w:rsidR="00003F63" w:rsidRPr="004E4BE7" w:rsidRDefault="00003F63" w:rsidP="00003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5D4D03EC" w14:textId="2F950CE6" w:rsidR="00FA0785" w:rsidRPr="00522CE0" w:rsidRDefault="00003F63" w:rsidP="00003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E4BE7">
        <w:rPr>
          <w:rFonts w:eastAsia="Times New Roman"/>
          <w:snapToGrid w:val="0"/>
          <w:szCs w:val="20"/>
        </w:rPr>
        <w:t>SECTION</w:t>
      </w:r>
      <w:r w:rsidRPr="004E4BE7">
        <w:rPr>
          <w:rFonts w:eastAsia="Times New Roman"/>
          <w:snapToGrid w:val="0"/>
          <w:szCs w:val="20"/>
        </w:rPr>
        <w:tab/>
      </w:r>
      <w:r>
        <w:rPr>
          <w:rFonts w:eastAsia="Times New Roman"/>
          <w:snapToGrid w:val="0"/>
          <w:szCs w:val="20"/>
        </w:rPr>
        <w:t>5</w:t>
      </w:r>
      <w:r w:rsidRPr="004E4BE7">
        <w:rPr>
          <w:rFonts w:eastAsia="Times New Roman"/>
          <w:snapToGrid w:val="0"/>
          <w:szCs w:val="20"/>
        </w:rPr>
        <w:t>.</w:t>
      </w:r>
      <w:r w:rsidRPr="004E4BE7">
        <w:rPr>
          <w:rFonts w:eastAsia="Times New Roman"/>
          <w:snapToGrid w:val="0"/>
          <w:szCs w:val="20"/>
        </w:rPr>
        <w:tab/>
        <w:t>This act takes effect upon approval by the Governor.</w:t>
      </w:r>
    </w:p>
    <w:p w14:paraId="169D81B0" w14:textId="557695B5" w:rsidR="001C1588" w:rsidRDefault="006F10D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1F628E7" w14:textId="77777777" w:rsidR="00B07213" w:rsidRDefault="00B07213" w:rsidP="00B07213">
      <w:pPr>
        <w:suppressAutoHyphens/>
        <w:jc w:val="both"/>
        <w:rPr>
          <w:rFonts w:eastAsia="Times New Roman"/>
        </w:rPr>
      </w:pPr>
    </w:p>
    <w:sectPr w:rsidR="00B07213" w:rsidSect="00B8095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EFC8E3" w14:textId="77777777" w:rsidR="0064317F" w:rsidRDefault="0064317F" w:rsidP="00522CE0">
      <w:r>
        <w:separator/>
      </w:r>
    </w:p>
  </w:endnote>
  <w:endnote w:type="continuationSeparator" w:id="0">
    <w:p w14:paraId="3B52353D" w14:textId="77777777" w:rsidR="0064317F" w:rsidRDefault="0064317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C58F661-4534-4951-AE5D-E6CD9DF89095}"/>
    <w:embedBold r:id="rId2" w:fontKey="{59A45DEC-C988-4628-AD32-E89EFE842043}"/>
  </w:font>
  <w:font w:name="Calibri">
    <w:panose1 w:val="020F0502020204030204"/>
    <w:charset w:val="00"/>
    <w:family w:val="swiss"/>
    <w:pitch w:val="variable"/>
    <w:sig w:usb0="E4002EFF" w:usb1="C000247B" w:usb2="00000009" w:usb3="00000000" w:csb0="000001FF" w:csb1="00000000"/>
    <w:embedRegular r:id="rId3" w:fontKey="{5AFFFF1E-F90B-44AD-935F-B69D8825E01D}"/>
    <w:embedBold r:id="rId4" w:fontKey="{F1AEDF3C-FF2B-4C49-A281-6F48BEAE4C60}"/>
  </w:font>
  <w:font w:name="Segoe UI">
    <w:panose1 w:val="020B0502040204020203"/>
    <w:charset w:val="00"/>
    <w:family w:val="swiss"/>
    <w:pitch w:val="variable"/>
    <w:sig w:usb0="E4002EFF" w:usb1="C000E47F" w:usb2="00000009" w:usb3="00000000" w:csb0="000001FF" w:csb1="00000000"/>
    <w:embedRegular r:id="rId5" w:fontKey="{8B229E08-BFE3-4C2A-A094-DEDA10483382}"/>
  </w:font>
  <w:font w:name="Cambria">
    <w:panose1 w:val="02040503050406030204"/>
    <w:charset w:val="00"/>
    <w:family w:val="roman"/>
    <w:pitch w:val="variable"/>
    <w:sig w:usb0="E00006FF" w:usb1="420024FF" w:usb2="02000000" w:usb3="00000000" w:csb0="0000019F" w:csb1="00000000"/>
    <w:embedRegular r:id="rId6" w:fontKey="{AD289B3E-7B86-4CAC-A303-D3EF1C1BBF7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56287" w14:textId="20A51ADD" w:rsidR="001C1588" w:rsidRPr="006633A3" w:rsidRDefault="006633A3" w:rsidP="006633A3">
    <w:pPr>
      <w:pStyle w:val="Footer"/>
      <w:tabs>
        <w:tab w:val="clear" w:pos="4680"/>
        <w:tab w:val="clear" w:pos="9360"/>
        <w:tab w:val="center" w:pos="2995"/>
      </w:tabs>
      <w:spacing w:before="120"/>
    </w:pPr>
    <w:r>
      <w:t>[429</w:t>
    </w:r>
    <w:r w:rsidR="00B80951">
      <w:t>-</w:t>
    </w:r>
    <w:r w:rsidR="00B80951">
      <w:fldChar w:fldCharType="begin"/>
    </w:r>
    <w:r w:rsidR="00B80951">
      <w:instrText xml:space="preserve"> PAGE  \* MERGEFORMAT </w:instrText>
    </w:r>
    <w:r w:rsidR="00B80951">
      <w:fldChar w:fldCharType="separate"/>
    </w:r>
    <w:r w:rsidR="00B07213">
      <w:rPr>
        <w:noProof/>
      </w:rPr>
      <w:t>1</w:t>
    </w:r>
    <w:r w:rsidR="00B80951">
      <w:fldChar w:fldCharType="end"/>
    </w:r>
    <w:r w:rsidR="00B8095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4FD7E" w14:textId="691F539A" w:rsidR="00B80951" w:rsidRPr="006633A3" w:rsidRDefault="00B80951" w:rsidP="006633A3">
    <w:pPr>
      <w:pStyle w:val="Footer"/>
      <w:tabs>
        <w:tab w:val="clear" w:pos="4680"/>
        <w:tab w:val="clear" w:pos="9360"/>
        <w:tab w:val="center" w:pos="2995"/>
      </w:tabs>
      <w:spacing w:before="120"/>
    </w:pPr>
    <w:r>
      <w:t>[429]</w:t>
    </w:r>
    <w:r>
      <w:tab/>
    </w:r>
    <w:r>
      <w:fldChar w:fldCharType="begin"/>
    </w:r>
    <w:r>
      <w:instrText xml:space="preserve"> PAGE  \* MERGEFORMAT </w:instrText>
    </w:r>
    <w:r>
      <w:fldChar w:fldCharType="separate"/>
    </w:r>
    <w:r w:rsidR="00B0721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B9A66E" w14:textId="77777777" w:rsidR="0064317F" w:rsidRDefault="0064317F" w:rsidP="00522CE0">
      <w:r>
        <w:separator/>
      </w:r>
    </w:p>
  </w:footnote>
  <w:footnote w:type="continuationSeparator" w:id="0">
    <w:p w14:paraId="09D1FA0D" w14:textId="77777777" w:rsidR="0064317F" w:rsidRDefault="0064317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DRUG.KMM.TCA"/>
    <w:docVar w:name="CoverAttorneyInitials" w:val="KMM"/>
    <w:docVar w:name="CoverAttorneyLastName" w:val="Moffitt"/>
    <w:docVar w:name="CoverBillType" w:val="b"/>
    <w:docVar w:name="CoverSenator" w:val="TCA"/>
    <w:docVar w:name="dvBillNumber" w:val="429"/>
    <w:docVar w:name="dvBillNumberPrefix" w:val="S. "/>
    <w:docVar w:name="dvOriginalBody" w:val="Senate"/>
    <w:docVar w:name="fulldraftpath" w:val="L:\S-RES\TCA\005DRUG.KMM.TCA.DOCX"/>
    <w:docVar w:name="NameofBody" w:val="S"/>
    <w:docVar w:name="vgroup2" w:val="S-RES"/>
  </w:docVars>
  <w:rsids>
    <w:rsidRoot w:val="00FA0785"/>
    <w:rsid w:val="00003F63"/>
    <w:rsid w:val="00042AC1"/>
    <w:rsid w:val="00046516"/>
    <w:rsid w:val="00066872"/>
    <w:rsid w:val="00072458"/>
    <w:rsid w:val="0007601D"/>
    <w:rsid w:val="00094E6C"/>
    <w:rsid w:val="000B0720"/>
    <w:rsid w:val="000B5EAF"/>
    <w:rsid w:val="001315B2"/>
    <w:rsid w:val="00170561"/>
    <w:rsid w:val="0017335E"/>
    <w:rsid w:val="00174988"/>
    <w:rsid w:val="00186AC9"/>
    <w:rsid w:val="00197DF1"/>
    <w:rsid w:val="001B3DD9"/>
    <w:rsid w:val="001B7E5D"/>
    <w:rsid w:val="001C1588"/>
    <w:rsid w:val="001D3BAC"/>
    <w:rsid w:val="001F0146"/>
    <w:rsid w:val="00216025"/>
    <w:rsid w:val="00245C4E"/>
    <w:rsid w:val="002A7C37"/>
    <w:rsid w:val="002C1321"/>
    <w:rsid w:val="002C2031"/>
    <w:rsid w:val="002C5896"/>
    <w:rsid w:val="002D3BED"/>
    <w:rsid w:val="002D4BCD"/>
    <w:rsid w:val="00307C2B"/>
    <w:rsid w:val="00315D04"/>
    <w:rsid w:val="00374047"/>
    <w:rsid w:val="00383247"/>
    <w:rsid w:val="003D6E2B"/>
    <w:rsid w:val="003E7597"/>
    <w:rsid w:val="00413EBF"/>
    <w:rsid w:val="0044020F"/>
    <w:rsid w:val="00450668"/>
    <w:rsid w:val="00454138"/>
    <w:rsid w:val="004813A2"/>
    <w:rsid w:val="00494C44"/>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33DEC"/>
    <w:rsid w:val="0064317F"/>
    <w:rsid w:val="006633A3"/>
    <w:rsid w:val="006A1802"/>
    <w:rsid w:val="006C0CBB"/>
    <w:rsid w:val="006C74EA"/>
    <w:rsid w:val="006F10D9"/>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1402"/>
    <w:rsid w:val="00995C37"/>
    <w:rsid w:val="009C118A"/>
    <w:rsid w:val="009F0454"/>
    <w:rsid w:val="00A02011"/>
    <w:rsid w:val="00A4011E"/>
    <w:rsid w:val="00A86015"/>
    <w:rsid w:val="00A9594E"/>
    <w:rsid w:val="00AE59C8"/>
    <w:rsid w:val="00B07213"/>
    <w:rsid w:val="00B10098"/>
    <w:rsid w:val="00B21565"/>
    <w:rsid w:val="00B5790D"/>
    <w:rsid w:val="00B80951"/>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D59BD"/>
    <w:rsid w:val="00DE5635"/>
    <w:rsid w:val="00E058D3"/>
    <w:rsid w:val="00E12CA0"/>
    <w:rsid w:val="00E2236D"/>
    <w:rsid w:val="00E76AD9"/>
    <w:rsid w:val="00E86EE2"/>
    <w:rsid w:val="00E91E2F"/>
    <w:rsid w:val="00EA3546"/>
    <w:rsid w:val="00EA73E8"/>
    <w:rsid w:val="00EB47AE"/>
    <w:rsid w:val="00EC34E1"/>
    <w:rsid w:val="00F0234A"/>
    <w:rsid w:val="00F05CF2"/>
    <w:rsid w:val="00F51241"/>
    <w:rsid w:val="00F52959"/>
    <w:rsid w:val="00F55884"/>
    <w:rsid w:val="00FA078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F9C16E2"/>
  <w15:docId w15:val="{4D62184E-DDA5-4F47-BA47-B028ECF2D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431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317F"/>
    <w:rPr>
      <w:rFonts w:ascii="Segoe UI" w:hAnsi="Segoe UI" w:cs="Segoe UI"/>
      <w:sz w:val="18"/>
      <w:szCs w:val="18"/>
    </w:rPr>
  </w:style>
  <w:style w:type="character" w:styleId="CommentReference">
    <w:name w:val="annotation reference"/>
    <w:basedOn w:val="DefaultParagraphFont"/>
    <w:uiPriority w:val="99"/>
    <w:semiHidden/>
    <w:unhideWhenUsed/>
    <w:rsid w:val="00494C44"/>
    <w:rPr>
      <w:sz w:val="16"/>
      <w:szCs w:val="16"/>
    </w:rPr>
  </w:style>
  <w:style w:type="paragraph" w:styleId="CommentText">
    <w:name w:val="annotation text"/>
    <w:basedOn w:val="Normal"/>
    <w:link w:val="CommentTextChar"/>
    <w:uiPriority w:val="99"/>
    <w:semiHidden/>
    <w:unhideWhenUsed/>
    <w:rsid w:val="00494C44"/>
    <w:rPr>
      <w:sz w:val="20"/>
      <w:szCs w:val="20"/>
    </w:rPr>
  </w:style>
  <w:style w:type="character" w:customStyle="1" w:styleId="CommentTextChar">
    <w:name w:val="Comment Text Char"/>
    <w:basedOn w:val="DefaultParagraphFont"/>
    <w:link w:val="CommentText"/>
    <w:uiPriority w:val="99"/>
    <w:semiHidden/>
    <w:rsid w:val="00494C44"/>
    <w:rPr>
      <w:sz w:val="20"/>
      <w:szCs w:val="20"/>
    </w:rPr>
  </w:style>
  <w:style w:type="paragraph" w:styleId="CommentSubject">
    <w:name w:val="annotation subject"/>
    <w:basedOn w:val="CommentText"/>
    <w:next w:val="CommentText"/>
    <w:link w:val="CommentSubjectChar"/>
    <w:uiPriority w:val="99"/>
    <w:semiHidden/>
    <w:unhideWhenUsed/>
    <w:rsid w:val="00494C44"/>
    <w:rPr>
      <w:b/>
      <w:bCs/>
    </w:rPr>
  </w:style>
  <w:style w:type="character" w:customStyle="1" w:styleId="CommentSubjectChar">
    <w:name w:val="Comment Subject Char"/>
    <w:basedOn w:val="CommentTextChar"/>
    <w:link w:val="CommentSubject"/>
    <w:uiPriority w:val="99"/>
    <w:semiHidden/>
    <w:rsid w:val="00494C4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681</Words>
  <Characters>4064</Characters>
  <Application>Microsoft Office Word</Application>
  <DocSecurity>0</DocSecurity>
  <Lines>116</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429 Text of Previous Version (Mar. 1, 2022) - South Carolina Legislature Online</dc:title>
  <dc:subject/>
  <dc:creator>Rebecca Landau</dc:creator>
  <cp:keywords/>
  <dc:description/>
  <cp:lastModifiedBy>Brent Walling</cp:lastModifiedBy>
  <cp:revision>2</cp:revision>
  <dcterms:created xsi:type="dcterms:W3CDTF">2022-03-01T22:26:00Z</dcterms:created>
  <dcterms:modified xsi:type="dcterms:W3CDTF">2022-03-01T22:26:00Z</dcterms:modified>
</cp:coreProperties>
</file>