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9419A" w14:textId="50FDB5FB" w:rsidR="006C0647" w:rsidRDefault="003C25E0"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58C017F9" w14:textId="79854DC2" w:rsidR="003C25E0" w:rsidRDefault="003C25E0"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577E6E53" w14:textId="77777777" w:rsidR="003C25E0" w:rsidRDefault="003C25E0"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15419D" w14:textId="77777777" w:rsidR="00E17E87" w:rsidRPr="00E17E87" w:rsidRDefault="00E17E87" w:rsidP="00E17E87">
      <w:pPr>
        <w:tabs>
          <w:tab w:val="right" w:pos="5933"/>
        </w:tabs>
        <w:suppressAutoHyphens/>
      </w:pPr>
      <w:r>
        <w:tab/>
      </w:r>
      <w:r>
        <w:rPr>
          <w:b/>
          <w:sz w:val="36"/>
        </w:rPr>
        <w:t>H. 4608</w:t>
      </w:r>
    </w:p>
    <w:p w14:paraId="7182F375"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C2BE06"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Trantham, Oremus, Burns, McCravy, G.R. Smith, M.M. Smith, B. Cox, Bennett, McGarry, Taylor, Jones, Gilliam, Yow, Hixon, Hill, Gagnon, Whitmire, Haddon, Bannister, Magnuson, May, Dabney, Long, Willis, McCabe, Morgan, Bryant, V.S. Moss, Nutt, T. Moore, Forrest, Bailey, West, Thayer, White, McKnight, Atkinson, Fry, Caskey, Blackwell, Ballentine, Wooten, Huggins, Chumley and Hiott</w:t>
      </w:r>
    </w:p>
    <w:p w14:paraId="1500C306"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4684A9" w14:textId="523599E5" w:rsidR="00E17E87" w:rsidRDefault="00E17E87" w:rsidP="00044AF0">
      <w:pPr>
        <w:tabs>
          <w:tab w:val="right" w:pos="5933"/>
        </w:tabs>
        <w:suppressAutoHyphens/>
      </w:pPr>
      <w:r>
        <w:t xml:space="preserve">S. Printed </w:t>
      </w:r>
      <w:r w:rsidR="006C0647">
        <w:t>5</w:t>
      </w:r>
      <w:r>
        <w:t>/</w:t>
      </w:r>
      <w:r w:rsidR="006C0647">
        <w:t>4</w:t>
      </w:r>
      <w:r>
        <w:t>/22--S.</w:t>
      </w:r>
      <w:r w:rsidR="00044AF0">
        <w:tab/>
      </w:r>
    </w:p>
    <w:p w14:paraId="015C2C2D"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40617536"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DA609F" w14:textId="77777777" w:rsidR="00E17E87" w:rsidRDefault="00E17E87"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7E87" w:rsidSect="00C20C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5B9A2F4" w14:textId="77777777" w:rsidR="00FE46DC" w:rsidRDefault="00FE46DC"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AD59C2"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594FA1"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509966"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19A397"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A5A0E8"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AE84F" w14:textId="77777777"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4ED4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325665" w14:textId="77777777" w:rsidR="0010776B" w:rsidRPr="00325348" w:rsidRDefault="0010776B" w:rsidP="00FE4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4413">
        <w:rPr>
          <w:b/>
          <w:sz w:val="30"/>
          <w:szCs w:val="30"/>
        </w:rPr>
        <w:t>BILL</w:t>
      </w:r>
    </w:p>
    <w:p w14:paraId="1129602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5A4427"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4B8E">
        <w:rPr>
          <w:color w:val="000000" w:themeColor="text1"/>
          <w:u w:color="000000" w:themeColor="text1"/>
        </w:rPr>
        <w:t>TO AMEND THE CODE OF LAWS OF SOUTH CAROLINA, 1976, TO ENACT THE “SAVE WOMEN</w:t>
      </w:r>
      <w:r w:rsidR="006D218E">
        <w:rPr>
          <w:color w:val="000000" w:themeColor="text1"/>
          <w:u w:color="000000" w:themeColor="text1"/>
        </w:rPr>
        <w:t>’</w:t>
      </w:r>
      <w:r w:rsidRPr="007C4B8E">
        <w:rPr>
          <w:color w:val="000000" w:themeColor="text1"/>
          <w:u w:color="000000" w:themeColor="text1"/>
        </w:rPr>
        <w:t>S SPORTS ACT” BY ADDING 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 SO AS TO EXPRESS LEGISLATIVE INTENT AND MAKE CERTAIN FINDINGS; TO REQUIRE GENDER</w:t>
      </w:r>
      <w:r w:rsidR="006D218E">
        <w:rPr>
          <w:color w:val="000000" w:themeColor="text1"/>
          <w:u w:color="000000" w:themeColor="text1"/>
        </w:rPr>
        <w:noBreakHyphen/>
      </w:r>
      <w:r w:rsidRPr="007C4B8E">
        <w:rPr>
          <w:color w:val="000000" w:themeColor="text1"/>
          <w:u w:color="000000" w:themeColor="text1"/>
        </w:rPr>
        <w:t>BASED OR COEDUCATIONAL DESIGNATION OF CERTAIN PUBLIC SECONDARY AND POSTSECONDARY SCHOOL SPORTS TEAMS; TO PROVIDE SUCH SPORTS TEAMS DESIGNATED FOR MALES MAY BE OPEN TO FEMALE STUDENT PARTICIPANTS; TO PROVIDE SUCH SPORTS TEAMS DESIGNATED FOR FEMALES MAY NOT BE OPEN TO MALE PARTICIPANTS; TO PROVIDE ASSUMPTIONS CONCERNING THE CORRECTNESS OF BIOLOGICAL GENDER STATEMENTS ON OFFICIAL BIRTH CERTIFICATES OF STUDENTS; AND TO PROVIDE REMEDIES TO STUDENTS AND SCHOOLS FOR VIOLATIONS OF THE PROVISIONS OF THIS ACT.</w:t>
      </w:r>
      <w:bookmarkEnd w:id="1"/>
    </w:p>
    <w:p w14:paraId="50F58EC4" w14:textId="55AC98AF" w:rsidR="006F015E" w:rsidRDefault="006C0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03B8F8F" w14:textId="77777777" w:rsidR="006C0647" w:rsidRDefault="006C0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72E61E"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Whereas, the General Assembly finds that participation in extracurricular sports is beneficial for children and their development; and</w:t>
      </w:r>
    </w:p>
    <w:p w14:paraId="0DF302D7" w14:textId="77777777"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EC0A1FC" w14:textId="77777777" w:rsidR="006F165E" w:rsidRDefault="00A461ED"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is in the s</w:t>
      </w:r>
      <w:r w:rsidR="006F165E" w:rsidRPr="007C4B8E">
        <w:rPr>
          <w:color w:val="000000" w:themeColor="text1"/>
          <w:u w:color="000000" w:themeColor="text1"/>
        </w:rPr>
        <w:t>tate</w:t>
      </w:r>
      <w:r w:rsidR="006D218E">
        <w:rPr>
          <w:color w:val="000000" w:themeColor="text1"/>
          <w:u w:color="000000" w:themeColor="text1"/>
        </w:rPr>
        <w:t>’</w:t>
      </w:r>
      <w:r w:rsidR="006F165E" w:rsidRPr="007C4B8E">
        <w:rPr>
          <w:color w:val="000000" w:themeColor="text1"/>
          <w:u w:color="000000" w:themeColor="text1"/>
        </w:rPr>
        <w:t>s best interest to ensure that fair opportunities are preserved for all children to compete in sports. Now, therefore,</w:t>
      </w:r>
    </w:p>
    <w:p w14:paraId="7F131D01" w14:textId="77777777" w:rsidR="006F165E" w:rsidRDefault="006F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4CB51D" w14:textId="77777777"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8CCD5DA" w14:textId="77777777"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082E21" w14:textId="77777777" w:rsidR="006C064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237">
        <w:rPr>
          <w:color w:val="000000" w:themeColor="text1"/>
          <w:u w:color="000000" w:themeColor="text1"/>
        </w:rPr>
        <w:t>SECTION 1.</w:t>
      </w:r>
      <w:r>
        <w:rPr>
          <w:color w:val="000000" w:themeColor="text1"/>
          <w:u w:color="000000" w:themeColor="text1"/>
        </w:rPr>
        <w:tab/>
      </w:r>
      <w:r w:rsidRPr="00701237">
        <w:rPr>
          <w:color w:val="000000" w:themeColor="text1"/>
          <w:u w:color="000000" w:themeColor="text1"/>
        </w:rPr>
        <w:t>This act must be known and may be cited as the “Save Women’s Sports Act”.</w:t>
      </w:r>
    </w:p>
    <w:p w14:paraId="1BDEA3B3" w14:textId="77777777" w:rsidR="006C064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73AB94F" w14:textId="77777777" w:rsidR="006C0647" w:rsidRPr="0070123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t>It is the</w:t>
      </w:r>
      <w:r w:rsidRPr="00701237">
        <w:rPr>
          <w:color w:val="000000" w:themeColor="text1"/>
          <w:u w:color="000000" w:themeColor="text1"/>
        </w:rPr>
        <w:t xml:space="preserve"> intent of the General Assembly to maintain opportunities for female athletes to demonstrate their strength, skills, and athletic abilities</w:t>
      </w:r>
      <w:r>
        <w:rPr>
          <w:color w:val="000000" w:themeColor="text1"/>
          <w:u w:color="000000" w:themeColor="text1"/>
        </w:rPr>
        <w:t>,</w:t>
      </w:r>
      <w:r w:rsidRPr="00701237">
        <w:rPr>
          <w:color w:val="000000" w:themeColor="text1"/>
          <w:u w:color="000000" w:themeColor="text1"/>
        </w:rPr>
        <w:t xml:space="preserve"> and to provide them with opportunities to obtain recognition and accolades, college scholarships, and numerous other long</w:t>
      </w:r>
      <w:r>
        <w:rPr>
          <w:color w:val="000000" w:themeColor="text1"/>
          <w:u w:color="000000" w:themeColor="text1"/>
        </w:rPr>
        <w:t>-</w:t>
      </w:r>
      <w:r w:rsidRPr="00701237">
        <w:rPr>
          <w:color w:val="000000" w:themeColor="text1"/>
          <w:u w:color="000000" w:themeColor="text1"/>
        </w:rPr>
        <w:t>term benefits that result from participating and competing in athletic endeavors.</w:t>
      </w:r>
    </w:p>
    <w:p w14:paraId="32E3D6C7" w14:textId="77777777" w:rsidR="006C0647" w:rsidRPr="0070123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1237">
        <w:rPr>
          <w:color w:val="000000" w:themeColor="text1"/>
          <w:u w:color="000000" w:themeColor="text1"/>
        </w:rPr>
        <w:t>(</w:t>
      </w:r>
      <w:r>
        <w:rPr>
          <w:color w:val="000000" w:themeColor="text1"/>
          <w:u w:color="000000" w:themeColor="text1"/>
        </w:rPr>
        <w:t>B</w:t>
      </w:r>
      <w:r w:rsidRPr="00701237">
        <w:rPr>
          <w:color w:val="000000" w:themeColor="text1"/>
          <w:u w:color="000000" w:themeColor="text1"/>
        </w:rPr>
        <w:t>)</w:t>
      </w:r>
      <w:r>
        <w:rPr>
          <w:color w:val="000000" w:themeColor="text1"/>
          <w:u w:color="000000" w:themeColor="text1"/>
        </w:rPr>
        <w:tab/>
      </w:r>
      <w:r w:rsidRPr="00701237">
        <w:rPr>
          <w:color w:val="000000" w:themeColor="text1"/>
          <w:u w:color="000000" w:themeColor="text1"/>
        </w:rPr>
        <w:t>The General Assembly finds that:</w:t>
      </w:r>
    </w:p>
    <w:p w14:paraId="69B36A48" w14:textId="77777777" w:rsidR="006C0647" w:rsidRPr="0070123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1237">
        <w:rPr>
          <w:color w:val="000000" w:themeColor="text1"/>
          <w:u w:color="000000" w:themeColor="text1"/>
        </w:rPr>
        <w:t>(</w:t>
      </w:r>
      <w:r>
        <w:rPr>
          <w:color w:val="000000" w:themeColor="text1"/>
          <w:u w:color="000000" w:themeColor="text1"/>
        </w:rPr>
        <w:t>1</w:t>
      </w:r>
      <w:r w:rsidRPr="00701237">
        <w:rPr>
          <w:color w:val="000000" w:themeColor="text1"/>
          <w:u w:color="000000" w:themeColor="text1"/>
        </w:rPr>
        <w:t>)</w:t>
      </w:r>
      <w:r>
        <w:rPr>
          <w:color w:val="000000" w:themeColor="text1"/>
          <w:u w:color="000000" w:themeColor="text1"/>
        </w:rPr>
        <w:tab/>
      </w:r>
      <w:r w:rsidRPr="00701237">
        <w:rPr>
          <w:color w:val="000000" w:themeColor="text1"/>
          <w:u w:color="000000" w:themeColor="text1"/>
        </w:rPr>
        <w:t>maintaining the fairness for women’s athletic opportunities is an important state interest; and</w:t>
      </w:r>
    </w:p>
    <w:p w14:paraId="23012BC4" w14:textId="77777777" w:rsidR="006C0647" w:rsidRPr="0070123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1237">
        <w:rPr>
          <w:color w:val="000000" w:themeColor="text1"/>
          <w:u w:color="000000" w:themeColor="text1"/>
        </w:rPr>
        <w:t>(</w:t>
      </w:r>
      <w:r>
        <w:rPr>
          <w:color w:val="000000" w:themeColor="text1"/>
          <w:u w:color="000000" w:themeColor="text1"/>
        </w:rPr>
        <w:t>2</w:t>
      </w:r>
      <w:r w:rsidRPr="00701237">
        <w:rPr>
          <w:color w:val="000000" w:themeColor="text1"/>
          <w:u w:color="000000" w:themeColor="text1"/>
        </w:rPr>
        <w:t>)</w:t>
      </w:r>
      <w:r>
        <w:rPr>
          <w:color w:val="000000" w:themeColor="text1"/>
          <w:u w:color="000000" w:themeColor="text1"/>
        </w:rPr>
        <w:tab/>
      </w:r>
      <w:r w:rsidRPr="00701237">
        <w:rPr>
          <w:color w:val="000000" w:themeColor="text1"/>
          <w:u w:color="000000" w:themeColor="text1"/>
        </w:rPr>
        <w:t>requiring the designation of separate sex specific athletic teams or sports is necessary to maintain fairness for women’s athletic opportunities.</w:t>
      </w:r>
    </w:p>
    <w:p w14:paraId="7EF8CF59" w14:textId="77777777" w:rsidR="006C0647" w:rsidRPr="0070123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377EAC" w14:textId="77777777" w:rsidR="006C064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237">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701237">
        <w:rPr>
          <w:color w:val="000000" w:themeColor="text1"/>
          <w:u w:color="000000" w:themeColor="text1"/>
        </w:rPr>
        <w:t>Article 5, Chapter 1, Title 59 of the 1976 Code is amended by adding:</w:t>
      </w:r>
    </w:p>
    <w:p w14:paraId="2E035158" w14:textId="77777777" w:rsidR="006C0647" w:rsidRPr="0070123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547409" w14:textId="77777777" w:rsidR="006C0647"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1237">
        <w:rPr>
          <w:color w:val="000000" w:themeColor="text1"/>
          <w:u w:color="000000" w:themeColor="text1"/>
        </w:rPr>
        <w:t>“Section 59</w:t>
      </w:r>
      <w:r>
        <w:rPr>
          <w:color w:val="000000" w:themeColor="text1"/>
          <w:u w:color="000000" w:themeColor="text1"/>
        </w:rPr>
        <w:t>-</w:t>
      </w:r>
      <w:r w:rsidRPr="00701237">
        <w:rPr>
          <w:color w:val="000000" w:themeColor="text1"/>
          <w:u w:color="000000" w:themeColor="text1"/>
        </w:rPr>
        <w:t>1</w:t>
      </w:r>
      <w:r>
        <w:rPr>
          <w:color w:val="000000" w:themeColor="text1"/>
          <w:u w:color="000000" w:themeColor="text1"/>
        </w:rPr>
        <w:t>-</w:t>
      </w:r>
      <w:r w:rsidRPr="00701237">
        <w:rPr>
          <w:color w:val="000000" w:themeColor="text1"/>
          <w:u w:color="000000" w:themeColor="text1"/>
        </w:rPr>
        <w:t>500.</w:t>
      </w:r>
      <w:r>
        <w:rPr>
          <w:color w:val="000000" w:themeColor="text1"/>
          <w:u w:color="000000" w:themeColor="text1"/>
        </w:rPr>
        <w:tab/>
      </w:r>
      <w:r w:rsidRPr="00701237">
        <w:rPr>
          <w:color w:val="000000" w:themeColor="text1"/>
          <w:u w:color="000000" w:themeColor="text1"/>
        </w:rPr>
        <w:t>(A)</w:t>
      </w:r>
      <w:r>
        <w:rPr>
          <w:color w:val="000000" w:themeColor="text1"/>
          <w:u w:color="000000" w:themeColor="text1"/>
        </w:rPr>
        <w:tab/>
      </w:r>
      <w:r w:rsidRPr="00701237">
        <w:rPr>
          <w:color w:val="000000" w:themeColor="text1"/>
          <w:u w:color="000000" w:themeColor="text1"/>
        </w:rPr>
        <w:t>For purposes of this section, a statement of a student’s biological sex on the student’s official birth certificate is considered to have correctly stated the student’s biological sex at birth if the statement was filed at or near the time of the student’s birth.</w:t>
      </w:r>
    </w:p>
    <w:p w14:paraId="52F459A8"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2F24">
        <w:rPr>
          <w:color w:val="000000" w:themeColor="text1"/>
          <w:u w:color="000000" w:themeColor="text1"/>
        </w:rPr>
        <w:t>(B)(1)</w:t>
      </w:r>
      <w:r w:rsidRPr="00E82F24">
        <w:rPr>
          <w:color w:val="000000" w:themeColor="text1"/>
          <w:u w:color="000000" w:themeColor="text1"/>
        </w:rPr>
        <w:tab/>
        <w:t>Interscholastic, intercollegiate, intramural, or club athletic teams or sports that are sponsored by a public elementary or secondary school or public postsecondary institution must be expressly designated as one of the following based on the biological sex at birth of team members:</w:t>
      </w:r>
    </w:p>
    <w:p w14:paraId="03205A73"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r>
      <w:r w:rsidRPr="00E82F24">
        <w:rPr>
          <w:color w:val="000000" w:themeColor="text1"/>
          <w:u w:color="000000" w:themeColor="text1"/>
        </w:rPr>
        <w:tab/>
      </w:r>
      <w:r w:rsidRPr="00E82F24">
        <w:rPr>
          <w:color w:val="000000" w:themeColor="text1"/>
          <w:u w:color="000000" w:themeColor="text1"/>
        </w:rPr>
        <w:tab/>
        <w:t>(a)</w:t>
      </w:r>
      <w:r w:rsidRPr="00E82F24">
        <w:rPr>
          <w:color w:val="000000" w:themeColor="text1"/>
          <w:u w:color="000000" w:themeColor="text1"/>
        </w:rPr>
        <w:tab/>
        <w:t>males, men, or boys;</w:t>
      </w:r>
    </w:p>
    <w:p w14:paraId="0B3AAE25"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r>
      <w:r w:rsidRPr="00E82F24">
        <w:rPr>
          <w:color w:val="000000" w:themeColor="text1"/>
          <w:u w:color="000000" w:themeColor="text1"/>
        </w:rPr>
        <w:tab/>
      </w:r>
      <w:r w:rsidRPr="00E82F24">
        <w:rPr>
          <w:color w:val="000000" w:themeColor="text1"/>
          <w:u w:color="000000" w:themeColor="text1"/>
        </w:rPr>
        <w:tab/>
        <w:t>(b)</w:t>
      </w:r>
      <w:r w:rsidRPr="00E82F24">
        <w:rPr>
          <w:color w:val="000000" w:themeColor="text1"/>
          <w:u w:color="000000" w:themeColor="text1"/>
        </w:rPr>
        <w:tab/>
        <w:t>females, women, or girls; or</w:t>
      </w:r>
    </w:p>
    <w:p w14:paraId="6537760B"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r>
      <w:r w:rsidRPr="00E82F24">
        <w:rPr>
          <w:color w:val="000000" w:themeColor="text1"/>
          <w:u w:color="000000" w:themeColor="text1"/>
        </w:rPr>
        <w:tab/>
      </w:r>
      <w:r w:rsidRPr="00E82F24">
        <w:rPr>
          <w:color w:val="000000" w:themeColor="text1"/>
          <w:u w:color="000000" w:themeColor="text1"/>
        </w:rPr>
        <w:tab/>
        <w:t>(c)</w:t>
      </w:r>
      <w:r w:rsidRPr="00E82F24">
        <w:rPr>
          <w:color w:val="000000" w:themeColor="text1"/>
          <w:u w:color="000000" w:themeColor="text1"/>
        </w:rPr>
        <w:tab/>
        <w:t>coed or mixed, including both males and females.</w:t>
      </w:r>
    </w:p>
    <w:p w14:paraId="1BB86219" w14:textId="6550B355"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r>
      <w:r w:rsidRPr="00E82F24">
        <w:rPr>
          <w:color w:val="000000" w:themeColor="text1"/>
          <w:u w:color="000000" w:themeColor="text1"/>
        </w:rPr>
        <w:tab/>
        <w:t>(2)</w:t>
      </w:r>
      <w:r w:rsidRPr="00E82F24">
        <w:rPr>
          <w:color w:val="000000" w:themeColor="text1"/>
          <w:u w:color="000000" w:themeColor="text1"/>
        </w:rPr>
        <w:tab/>
        <w:t>Athletic teams or sports designated for males, men, or boys shall not be open to students of the female sex, unless no team designated for females in that sport is offered at the school in which the student is enrolled.</w:t>
      </w:r>
      <w:r w:rsidRPr="00E82F24">
        <w:rPr>
          <w:color w:val="000000" w:themeColor="text1"/>
          <w:u w:color="000000" w:themeColor="text1"/>
        </w:rPr>
        <w:tab/>
      </w:r>
    </w:p>
    <w:p w14:paraId="0B982909"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r>
      <w:r w:rsidRPr="00E82F24">
        <w:rPr>
          <w:color w:val="000000" w:themeColor="text1"/>
          <w:u w:color="000000" w:themeColor="text1"/>
        </w:rPr>
        <w:tab/>
        <w:t>(3)</w:t>
      </w:r>
      <w:r w:rsidRPr="00E82F24">
        <w:rPr>
          <w:color w:val="000000" w:themeColor="text1"/>
          <w:u w:color="000000" w:themeColor="text1"/>
        </w:rPr>
        <w:tab/>
        <w:t>Athletic teams or sports designated for females, women, or girls shall not be open to students of the male sex.</w:t>
      </w:r>
    </w:p>
    <w:p w14:paraId="676AEA7A"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r>
      <w:r w:rsidRPr="00E82F24">
        <w:rPr>
          <w:color w:val="000000" w:themeColor="text1"/>
          <w:u w:color="000000" w:themeColor="text1"/>
        </w:rPr>
        <w:tab/>
        <w:t>(4)</w:t>
      </w:r>
      <w:r w:rsidRPr="00E82F24">
        <w:rPr>
          <w:color w:val="000000" w:themeColor="text1"/>
          <w:u w:color="000000" w:themeColor="text1"/>
        </w:rPr>
        <w:tab/>
        <w:t>A private school or a private institution sponsoring an athletic team or sport in which its students or teams compete against a public school or institution must also comply with this section for the applicable team or sport.</w:t>
      </w:r>
    </w:p>
    <w:p w14:paraId="0BB22A9B"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t>(C)(1)</w:t>
      </w:r>
      <w:r w:rsidRPr="00E82F24">
        <w:rPr>
          <w:color w:val="000000" w:themeColor="text1"/>
          <w:u w:color="000000" w:themeColor="text1"/>
        </w:rPr>
        <w:tab/>
        <w:t>A student who is deprived of an athletic opportunity or suffers any direct or indirect harm as a result of a violation of this section may initiate a cause of action against the school or postsecondary institution as provided in subsection (C)(4).</w:t>
      </w:r>
    </w:p>
    <w:p w14:paraId="4D193F72"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lastRenderedPageBreak/>
        <w:tab/>
      </w:r>
      <w:r w:rsidRPr="00E82F24">
        <w:rPr>
          <w:color w:val="000000" w:themeColor="text1"/>
          <w:u w:color="000000" w:themeColor="text1"/>
        </w:rPr>
        <w:tab/>
        <w:t>(2)</w:t>
      </w:r>
      <w:r w:rsidRPr="00E82F24">
        <w:rPr>
          <w:color w:val="000000" w:themeColor="text1"/>
          <w:u w:color="000000" w:themeColor="text1"/>
        </w:rPr>
        <w:tab/>
        <w:t>A student who is subject to retaliation or other adverse action by a school,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postsecondary institutions in this State, may initiate a cause of action against the school,  postsecondary institution, or athletic association or organization as provided in subsection (C)(4).</w:t>
      </w:r>
    </w:p>
    <w:p w14:paraId="5CA3C8A9"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r>
      <w:r w:rsidRPr="00E82F24">
        <w:rPr>
          <w:color w:val="000000" w:themeColor="text1"/>
          <w:u w:color="000000" w:themeColor="text1"/>
        </w:rPr>
        <w:tab/>
        <w:t>(3)</w:t>
      </w:r>
      <w:r w:rsidRPr="00E82F24">
        <w:rPr>
          <w:color w:val="000000" w:themeColor="text1"/>
          <w:u w:color="000000" w:themeColor="text1"/>
        </w:rPr>
        <w:tab/>
        <w:t>A school or postsecondary institution that suffers any direct or indirect harm as a result of a violation of this section may initiate a cause of action against the governmental entity, licensing or accrediting organization or athletic association or organization as provided in subsection (C)(4).</w:t>
      </w:r>
    </w:p>
    <w:p w14:paraId="1255E9D8"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r>
      <w:r w:rsidRPr="00E82F24">
        <w:rPr>
          <w:color w:val="000000" w:themeColor="text1"/>
          <w:u w:color="000000" w:themeColor="text1"/>
        </w:rPr>
        <w:tab/>
        <w:t>(4)</w:t>
      </w:r>
      <w:r w:rsidRPr="00E82F24">
        <w:rPr>
          <w:color w:val="000000" w:themeColor="text1"/>
          <w:u w:color="000000" w:themeColor="text1"/>
        </w:rPr>
        <w:tab/>
        <w:t>An action arising under this section must be commenced within two years after the alleged injury and subject to the South Carolina Tort Claims Act, as provided in Section 15</w:t>
      </w:r>
      <w:r w:rsidRPr="00E82F24">
        <w:rPr>
          <w:color w:val="000000" w:themeColor="text1"/>
          <w:u w:color="000000" w:themeColor="text1"/>
        </w:rPr>
        <w:noBreakHyphen/>
        <w:t>78</w:t>
      </w:r>
      <w:r w:rsidRPr="00E82F24">
        <w:rPr>
          <w:color w:val="000000" w:themeColor="text1"/>
          <w:u w:color="000000" w:themeColor="text1"/>
        </w:rPr>
        <w:noBreakHyphen/>
        <w:t>10, et seq.”</w:t>
      </w:r>
    </w:p>
    <w:p w14:paraId="04F8ACE8"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0E04EA"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SECTION</w:t>
      </w:r>
      <w:r w:rsidRPr="00E82F24">
        <w:rPr>
          <w:color w:val="000000" w:themeColor="text1"/>
          <w:u w:color="000000" w:themeColor="text1"/>
        </w:rPr>
        <w:tab/>
        <w:t>4.</w:t>
      </w:r>
      <w:r w:rsidRPr="00E82F24">
        <w:rPr>
          <w:color w:val="000000" w:themeColor="text1"/>
          <w:u w:color="000000" w:themeColor="text1"/>
        </w:rPr>
        <w:tab/>
        <w:t>Article 1, Chapter 63, Title 59 of the 1976 Code is amended by adding:</w:t>
      </w:r>
    </w:p>
    <w:p w14:paraId="5BDF6D88"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79E328"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ab/>
        <w:t>“Section 59</w:t>
      </w:r>
      <w:r w:rsidRPr="00E82F24">
        <w:rPr>
          <w:color w:val="000000" w:themeColor="text1"/>
          <w:u w:color="000000" w:themeColor="text1"/>
        </w:rPr>
        <w:noBreakHyphen/>
        <w:t>63</w:t>
      </w:r>
      <w:r w:rsidRPr="00E82F24">
        <w:rPr>
          <w:color w:val="000000" w:themeColor="text1"/>
          <w:u w:color="000000" w:themeColor="text1"/>
        </w:rPr>
        <w:noBreakHyphen/>
        <w:t>72.</w:t>
      </w:r>
      <w:r w:rsidRPr="00E82F24">
        <w:rPr>
          <w:color w:val="000000" w:themeColor="text1"/>
          <w:u w:color="000000" w:themeColor="text1"/>
        </w:rPr>
        <w:tab/>
        <w:t>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recognizes, sanctions, and regulates interscholastic competition of wrestling teams composed exclusively of female students.”</w:t>
      </w:r>
    </w:p>
    <w:p w14:paraId="500C4CD2"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EC0596"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F24">
        <w:rPr>
          <w:color w:val="000000" w:themeColor="text1"/>
          <w:u w:color="000000" w:themeColor="text1"/>
        </w:rPr>
        <w:t>SECTION</w:t>
      </w:r>
      <w:r w:rsidRPr="00E82F24">
        <w:rPr>
          <w:color w:val="000000" w:themeColor="text1"/>
          <w:u w:color="000000" w:themeColor="text1"/>
        </w:rPr>
        <w:tab/>
        <w:t>5.</w:t>
      </w:r>
      <w:r w:rsidRPr="00E82F2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39EF12F"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61CAF0" w14:textId="77777777" w:rsidR="006C0647" w:rsidRPr="00E82F24" w:rsidRDefault="006C0647"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82F24">
        <w:rPr>
          <w:color w:val="000000" w:themeColor="text1"/>
          <w:u w:color="000000" w:themeColor="text1"/>
        </w:rPr>
        <w:t>SECTION</w:t>
      </w:r>
      <w:r w:rsidRPr="00E82F24">
        <w:rPr>
          <w:color w:val="000000" w:themeColor="text1"/>
          <w:u w:color="000000" w:themeColor="text1"/>
        </w:rPr>
        <w:tab/>
        <w:t>6.</w:t>
      </w:r>
      <w:r w:rsidRPr="00E82F24">
        <w:rPr>
          <w:color w:val="000000" w:themeColor="text1"/>
          <w:u w:color="000000" w:themeColor="text1"/>
        </w:rPr>
        <w:tab/>
        <w:t>This act takes effect upon approval by the Governor.</w:t>
      </w:r>
    </w:p>
    <w:p w14:paraId="668771BE" w14:textId="075B9B4F" w:rsidR="00EF3B93" w:rsidRDefault="006D218E" w:rsidP="006C0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2F24">
        <w:lastRenderedPageBreak/>
        <w:noBreakHyphen/>
      </w:r>
      <w:r w:rsidRPr="00E82F24">
        <w:noBreakHyphen/>
      </w:r>
      <w:r w:rsidRPr="00E82F24">
        <w:noBreakHyphen/>
      </w:r>
      <w:r w:rsidRPr="00E82F24">
        <w:noBreakHyphen/>
      </w:r>
      <w:r w:rsidR="0010776B" w:rsidRPr="00E82F24">
        <w:t>XX</w:t>
      </w:r>
      <w:r w:rsidRPr="00E82F24">
        <w:noBreakHyphen/>
      </w:r>
      <w:r w:rsidRPr="00E82F24">
        <w:noBreakHyphen/>
      </w:r>
      <w:r w:rsidRPr="00E82F24">
        <w:noBreakHyphen/>
      </w:r>
      <w:r w:rsidRPr="00E82F24">
        <w:noBreakHyphen/>
      </w:r>
    </w:p>
    <w:p w14:paraId="7FE95D9C" w14:textId="77777777" w:rsidR="00B0624B" w:rsidRDefault="00B0624B" w:rsidP="00B0624B">
      <w:pPr>
        <w:suppressAutoHyphens/>
      </w:pPr>
    </w:p>
    <w:sectPr w:rsidR="00B0624B" w:rsidSect="00C20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6CDB4" w14:textId="77777777" w:rsidR="00274413" w:rsidRDefault="00274413" w:rsidP="009F0C77">
      <w:r>
        <w:separator/>
      </w:r>
    </w:p>
  </w:endnote>
  <w:endnote w:type="continuationSeparator" w:id="0">
    <w:p w14:paraId="6D5CDD5C" w14:textId="77777777" w:rsidR="00274413" w:rsidRDefault="00274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26A29C-C40C-49DF-8EAF-0A9BDA330536}"/>
    <w:embedBold r:id="rId2" w:fontKey="{D243A00A-04FA-4CEF-91BD-1D86160EE68F}"/>
  </w:font>
  <w:font w:name="Calibri">
    <w:panose1 w:val="020F0502020204030204"/>
    <w:charset w:val="00"/>
    <w:family w:val="swiss"/>
    <w:pitch w:val="variable"/>
    <w:sig w:usb0="E4002EFF" w:usb1="C000247B" w:usb2="00000009" w:usb3="00000000" w:csb0="000001FF" w:csb1="00000000"/>
    <w:embedRegular r:id="rId3" w:fontKey="{4918AFFD-881D-42B5-B562-89983BF0D7CF}"/>
  </w:font>
  <w:font w:name="Segoe UI">
    <w:panose1 w:val="020B0502040204020203"/>
    <w:charset w:val="00"/>
    <w:family w:val="swiss"/>
    <w:pitch w:val="variable"/>
    <w:sig w:usb0="E4002EFF" w:usb1="C000E47F" w:usb2="00000009" w:usb3="00000000" w:csb0="000001FF" w:csb1="00000000"/>
    <w:embedRegular r:id="rId4" w:fontKey="{BB0BB1CB-DD38-49BA-8D63-B1375C36D013}"/>
  </w:font>
  <w:font w:name="Cambria">
    <w:panose1 w:val="02040503050406030204"/>
    <w:charset w:val="00"/>
    <w:family w:val="roman"/>
    <w:pitch w:val="variable"/>
    <w:sig w:usb0="E00006FF" w:usb1="420024FF" w:usb2="02000000" w:usb3="00000000" w:csb0="0000019F" w:csb1="00000000"/>
    <w:embedRegular r:id="rId5" w:fontKey="{4715585E-7BB6-4F03-9D0B-7B1A69FD3F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A687F" w14:textId="0643F860" w:rsidR="00EF3B93" w:rsidRPr="00FE46DC" w:rsidRDefault="00FE46DC" w:rsidP="00FE46DC">
    <w:pPr>
      <w:pStyle w:val="Footer"/>
      <w:tabs>
        <w:tab w:val="clear" w:pos="4680"/>
        <w:tab w:val="clear" w:pos="9360"/>
        <w:tab w:val="center" w:pos="2995"/>
      </w:tabs>
      <w:spacing w:before="120"/>
    </w:pPr>
    <w:r>
      <w:t>[4608</w:t>
    </w:r>
    <w:r w:rsidR="00C20C67">
      <w:t>-</w:t>
    </w:r>
    <w:r w:rsidR="00C20C67">
      <w:fldChar w:fldCharType="begin"/>
    </w:r>
    <w:r w:rsidR="00C20C67">
      <w:instrText xml:space="preserve"> PAGE  \* MERGEFORMAT </w:instrText>
    </w:r>
    <w:r w:rsidR="00C20C67">
      <w:fldChar w:fldCharType="separate"/>
    </w:r>
    <w:r w:rsidR="00B0624B">
      <w:rPr>
        <w:noProof/>
      </w:rPr>
      <w:t>1</w:t>
    </w:r>
    <w:r w:rsidR="00C20C67">
      <w:fldChar w:fldCharType="end"/>
    </w:r>
    <w:r w:rsidR="00C20C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CE56B" w14:textId="4FF6FDD5" w:rsidR="00C20C67" w:rsidRPr="00FE46DC" w:rsidRDefault="00C20C67" w:rsidP="00FE46DC">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sidR="00B062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4109C" w14:textId="77777777" w:rsidR="00274413" w:rsidRDefault="00274413" w:rsidP="009F0C77">
      <w:r>
        <w:separator/>
      </w:r>
    </w:p>
  </w:footnote>
  <w:footnote w:type="continuationSeparator" w:id="0">
    <w:p w14:paraId="3DD95AE2" w14:textId="77777777" w:rsidR="00274413" w:rsidRDefault="00274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9WAB22"/>
    <w:docVar w:name="CoverBillType" w:val="b"/>
    <w:docVar w:name="DocPath" w:val="L:\Council\bills\AGM\18009WAB22.DOCX"/>
    <w:docVar w:name="dvBillNumber" w:val="4608"/>
    <w:docVar w:name="dvBillNumberPrefix" w:val="H. "/>
    <w:docVar w:name="dvOriginalBody" w:val="House"/>
    <w:docVar w:name="dvSteno" w:val="AGM"/>
    <w:docVar w:name="NameofBody" w:val="h"/>
    <w:docVar w:name="vGroup2" w:val="Council"/>
  </w:docVars>
  <w:rsids>
    <w:rsidRoot w:val="00274413"/>
    <w:rsid w:val="00011869"/>
    <w:rsid w:val="00015CD6"/>
    <w:rsid w:val="00044AF0"/>
    <w:rsid w:val="000D6575"/>
    <w:rsid w:val="000E0100"/>
    <w:rsid w:val="000E1785"/>
    <w:rsid w:val="000F40FA"/>
    <w:rsid w:val="001035F1"/>
    <w:rsid w:val="0010776B"/>
    <w:rsid w:val="00133E66"/>
    <w:rsid w:val="001435A3"/>
    <w:rsid w:val="00146ED3"/>
    <w:rsid w:val="00151044"/>
    <w:rsid w:val="001D08F2"/>
    <w:rsid w:val="001D3A58"/>
    <w:rsid w:val="001D525B"/>
    <w:rsid w:val="001D7F4F"/>
    <w:rsid w:val="001E3DE3"/>
    <w:rsid w:val="001F32C5"/>
    <w:rsid w:val="00205238"/>
    <w:rsid w:val="002321B6"/>
    <w:rsid w:val="00232912"/>
    <w:rsid w:val="00250967"/>
    <w:rsid w:val="002543C8"/>
    <w:rsid w:val="0025541D"/>
    <w:rsid w:val="00274413"/>
    <w:rsid w:val="00284AAE"/>
    <w:rsid w:val="002D2A00"/>
    <w:rsid w:val="002E5912"/>
    <w:rsid w:val="00301B21"/>
    <w:rsid w:val="00325348"/>
    <w:rsid w:val="0032732C"/>
    <w:rsid w:val="00336AD0"/>
    <w:rsid w:val="0034562F"/>
    <w:rsid w:val="0037079A"/>
    <w:rsid w:val="003C25E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902"/>
    <w:rsid w:val="006913C9"/>
    <w:rsid w:val="0069470D"/>
    <w:rsid w:val="006C0647"/>
    <w:rsid w:val="006D218E"/>
    <w:rsid w:val="006D58AA"/>
    <w:rsid w:val="006F015E"/>
    <w:rsid w:val="006F165E"/>
    <w:rsid w:val="00734F00"/>
    <w:rsid w:val="00736959"/>
    <w:rsid w:val="007A70AE"/>
    <w:rsid w:val="008362E8"/>
    <w:rsid w:val="0085786E"/>
    <w:rsid w:val="008A1768"/>
    <w:rsid w:val="008A489F"/>
    <w:rsid w:val="008F0F33"/>
    <w:rsid w:val="008F4429"/>
    <w:rsid w:val="0094021A"/>
    <w:rsid w:val="00951961"/>
    <w:rsid w:val="009B44AF"/>
    <w:rsid w:val="009C6A0B"/>
    <w:rsid w:val="009E457D"/>
    <w:rsid w:val="009F0C77"/>
    <w:rsid w:val="009F4DD1"/>
    <w:rsid w:val="00A02543"/>
    <w:rsid w:val="00A41684"/>
    <w:rsid w:val="00A461ED"/>
    <w:rsid w:val="00A64E80"/>
    <w:rsid w:val="00A72BCD"/>
    <w:rsid w:val="00A741D9"/>
    <w:rsid w:val="00A833AB"/>
    <w:rsid w:val="00A9741D"/>
    <w:rsid w:val="00AC34A2"/>
    <w:rsid w:val="00AD1C9A"/>
    <w:rsid w:val="00AD4B17"/>
    <w:rsid w:val="00B0624B"/>
    <w:rsid w:val="00B412D4"/>
    <w:rsid w:val="00B64FFF"/>
    <w:rsid w:val="00BE3C22"/>
    <w:rsid w:val="00C0345E"/>
    <w:rsid w:val="00C20C67"/>
    <w:rsid w:val="00C21ABE"/>
    <w:rsid w:val="00C31C95"/>
    <w:rsid w:val="00C3483A"/>
    <w:rsid w:val="00C74E9D"/>
    <w:rsid w:val="00C826DD"/>
    <w:rsid w:val="00C82FD3"/>
    <w:rsid w:val="00C92819"/>
    <w:rsid w:val="00CC6B7B"/>
    <w:rsid w:val="00CD2089"/>
    <w:rsid w:val="00CE1D14"/>
    <w:rsid w:val="00D7288F"/>
    <w:rsid w:val="00D73A67"/>
    <w:rsid w:val="00D970A9"/>
    <w:rsid w:val="00DF3845"/>
    <w:rsid w:val="00E17E87"/>
    <w:rsid w:val="00E41911"/>
    <w:rsid w:val="00E44B57"/>
    <w:rsid w:val="00E72F32"/>
    <w:rsid w:val="00E82F24"/>
    <w:rsid w:val="00E92EEF"/>
    <w:rsid w:val="00EF2368"/>
    <w:rsid w:val="00EF3B93"/>
    <w:rsid w:val="00F24442"/>
    <w:rsid w:val="00F50AE3"/>
    <w:rsid w:val="00F655B7"/>
    <w:rsid w:val="00F656BA"/>
    <w:rsid w:val="00F67CF1"/>
    <w:rsid w:val="00F728AA"/>
    <w:rsid w:val="00F840F0"/>
    <w:rsid w:val="00FA6653"/>
    <w:rsid w:val="00FB0D0D"/>
    <w:rsid w:val="00FB43B4"/>
    <w:rsid w:val="00FB6B0B"/>
    <w:rsid w:val="00FE46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06FA2"/>
  <w15:docId w15:val="{44B80E90-BAA9-4F50-94A5-CEA5A3FF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1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F68AA-1E05-48FC-8943-3CDDA56AE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988</Words>
  <Characters>5320</Characters>
  <Application>Microsoft Office Word</Application>
  <DocSecurity>0</DocSecurity>
  <Lines>146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4608 Text of Previous Version (May 4, 2022) - South Carolina Legislature Online</dc:title>
  <dc:creator>Angie Morgan</dc:creator>
  <cp:lastModifiedBy>David Brunson</cp:lastModifiedBy>
  <cp:revision>2</cp:revision>
  <cp:lastPrinted>2021-11-17T13:49:00Z</cp:lastPrinted>
  <dcterms:created xsi:type="dcterms:W3CDTF">2022-05-04T22:13:00Z</dcterms:created>
  <dcterms:modified xsi:type="dcterms:W3CDTF">2022-05-04T22:13:00Z</dcterms:modified>
</cp:coreProperties>
</file>