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0196" w:rsidRP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2022</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Pr="009F0196" w:rsidRDefault="009F0196" w:rsidP="009F0196">
      <w:pPr>
        <w:tabs>
          <w:tab w:val="right" w:pos="5933"/>
        </w:tabs>
        <w:suppressAutoHyphens/>
      </w:pPr>
      <w:r>
        <w:tab/>
      </w:r>
      <w:r>
        <w:rPr>
          <w:b/>
          <w:sz w:val="36"/>
        </w:rPr>
        <w:t>H. 4880</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Crawford, Huggins, Erickson, Bradley, Ballentine, Hardee, W. Newton, White, Thayer, West, Fry, Hewitt, Gagnon and Willis</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6429F3">
      <w:pPr>
        <w:tabs>
          <w:tab w:val="right" w:pos="5933"/>
        </w:tabs>
        <w:suppressAutoHyphens/>
      </w:pPr>
      <w:r>
        <w:t>S. Printed 2/22/22--H.</w:t>
      </w:r>
      <w:r w:rsidR="006429F3">
        <w:tab/>
        <w:t>[SEC 2/23/22 10:51 AM]</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4880) to amend Section 12-6-510, Code of Laws of South Carolina, 1976, relating to the individual income tax, so as to reduce the top marginal rate, etc., respectfully</w:t>
      </w: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84C">
        <w:t>Amend the bill, as and if amended, by striking SECTION 1 and inserting:</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84C">
        <w:rPr>
          <w:u w:color="000000" w:themeColor="text1"/>
        </w:rPr>
        <w:t>/</w:t>
      </w:r>
      <w:r w:rsidRPr="0057784C">
        <w:rPr>
          <w:u w:color="000000" w:themeColor="text1"/>
        </w:rPr>
        <w:tab/>
      </w:r>
      <w:r w:rsidRPr="0057784C">
        <w:rPr>
          <w:u w:color="000000" w:themeColor="text1"/>
        </w:rPr>
        <w:tab/>
        <w:t>SECTION</w:t>
      </w:r>
      <w:r w:rsidRPr="0057784C">
        <w:rPr>
          <w:u w:color="000000" w:themeColor="text1"/>
        </w:rPr>
        <w:tab/>
        <w:t>1.</w:t>
      </w:r>
      <w:r w:rsidRPr="0057784C">
        <w:rPr>
          <w:u w:color="000000" w:themeColor="text1"/>
        </w:rPr>
        <w:tab/>
        <w:t>Section 12</w:t>
      </w:r>
      <w:r w:rsidRPr="0057784C">
        <w:rPr>
          <w:u w:color="000000" w:themeColor="text1"/>
        </w:rPr>
        <w:noBreakHyphen/>
        <w:t>6</w:t>
      </w:r>
      <w:r w:rsidRPr="0057784C">
        <w:rPr>
          <w:u w:color="000000" w:themeColor="text1"/>
        </w:rPr>
        <w:noBreakHyphen/>
        <w:t>510 of the 1976 Code is amended to read:</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84C">
        <w:rPr>
          <w:u w:color="000000" w:themeColor="text1"/>
        </w:rPr>
        <w:tab/>
        <w:t>“Section 12</w:t>
      </w:r>
      <w:r w:rsidRPr="0057784C">
        <w:rPr>
          <w:u w:color="000000" w:themeColor="text1"/>
        </w:rPr>
        <w:noBreakHyphen/>
        <w:t>6</w:t>
      </w:r>
      <w:r w:rsidRPr="0057784C">
        <w:rPr>
          <w:u w:color="000000" w:themeColor="text1"/>
        </w:rPr>
        <w:noBreakHyphen/>
        <w:t>510.</w:t>
      </w:r>
      <w:r w:rsidRPr="0057784C">
        <w:rPr>
          <w:u w:color="000000" w:themeColor="text1"/>
        </w:rPr>
        <w:tab/>
        <w:t>(</w:t>
      </w:r>
      <w:bookmarkStart w:id="0" w:name="temp"/>
      <w:bookmarkEnd w:id="0"/>
      <w:r w:rsidRPr="0057784C">
        <w:rPr>
          <w:u w:color="000000" w:themeColor="text1"/>
        </w:rPr>
        <w:t>A)</w:t>
      </w:r>
      <w:r w:rsidRPr="0057784C">
        <w:rPr>
          <w:u w:color="000000" w:themeColor="text1"/>
        </w:rPr>
        <w:tab/>
      </w:r>
      <w:r w:rsidRPr="0057784C">
        <w:rPr>
          <w:u w:val="single" w:color="000000" w:themeColor="text1"/>
        </w:rPr>
        <w:t>Subject to the provisions of subsection (B),</w:t>
      </w:r>
      <w:r w:rsidRPr="0057784C">
        <w:rPr>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57784C">
        <w:rPr>
          <w:u w:color="000000" w:themeColor="text1"/>
        </w:rPr>
        <w:noBreakHyphen/>
        <w:t>6</w:t>
      </w:r>
      <w:r w:rsidRPr="0057784C">
        <w:rPr>
          <w:u w:color="000000" w:themeColor="text1"/>
        </w:rPr>
        <w:noBreakHyphen/>
        <w:t>530 through 12</w:t>
      </w:r>
      <w:r w:rsidRPr="0057784C">
        <w:rPr>
          <w:u w:color="000000" w:themeColor="text1"/>
        </w:rPr>
        <w:noBreakHyphen/>
        <w:t>6</w:t>
      </w:r>
      <w:r w:rsidRPr="0057784C">
        <w:rPr>
          <w:u w:color="000000" w:themeColor="text1"/>
        </w:rPr>
        <w:noBreakHyphen/>
        <w:t>550 computed at the following rates with the income brackets indexed in accordance with Section 12</w:t>
      </w:r>
      <w:r w:rsidRPr="0057784C">
        <w:rPr>
          <w:u w:color="000000" w:themeColor="text1"/>
        </w:rPr>
        <w:noBreakHyphen/>
        <w:t>6</w:t>
      </w:r>
      <w:r w:rsidRPr="0057784C">
        <w:rPr>
          <w:u w:color="000000" w:themeColor="text1"/>
        </w:rPr>
        <w:noBreakHyphen/>
        <w:t>520: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Not over $2,220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004E6926">
        <w:rPr>
          <w:szCs w:val="24"/>
          <w:u w:color="000000" w:themeColor="text1"/>
        </w:rPr>
        <w:tab/>
      </w:r>
      <w:r w:rsidR="004E6926">
        <w:rPr>
          <w:szCs w:val="24"/>
          <w:u w:color="000000" w:themeColor="text1"/>
        </w:rPr>
        <w:tab/>
      </w:r>
      <w:r w:rsidR="004E6926">
        <w:rPr>
          <w:szCs w:val="24"/>
          <w:u w:color="000000" w:themeColor="text1"/>
        </w:rPr>
        <w:tab/>
      </w:r>
      <w:r w:rsidR="004E6926">
        <w:rPr>
          <w:szCs w:val="24"/>
          <w:u w:color="000000" w:themeColor="text1"/>
        </w:rPr>
        <w:tab/>
      </w:r>
      <w:r w:rsidRPr="0057784C">
        <w:rPr>
          <w:szCs w:val="24"/>
          <w:u w:color="000000" w:themeColor="text1"/>
        </w:rPr>
        <w:t>2.5 percent of taxable income</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$2,220 but not over $4,440</w:t>
      </w:r>
      <w:r w:rsidRPr="0057784C">
        <w:rPr>
          <w:szCs w:val="24"/>
          <w:u w:color="000000" w:themeColor="text1"/>
        </w:rPr>
        <w:tab/>
      </w:r>
      <w:r w:rsidRPr="0057784C">
        <w:rPr>
          <w:szCs w:val="24"/>
          <w:u w:color="000000" w:themeColor="text1"/>
        </w:rPr>
        <w:tab/>
      </w:r>
      <w:r w:rsidRPr="0057784C">
        <w:rPr>
          <w:szCs w:val="24"/>
          <w:u w:color="000000" w:themeColor="text1"/>
        </w:rPr>
        <w:tab/>
        <w:t>$56 plus 3 percent of the excess over $2,220;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$4,440 but not over $6,660</w:t>
      </w:r>
      <w:r w:rsidRPr="0057784C">
        <w:rPr>
          <w:szCs w:val="24"/>
          <w:u w:color="000000" w:themeColor="text1"/>
        </w:rPr>
        <w:tab/>
      </w:r>
      <w:r w:rsidRPr="0057784C">
        <w:rPr>
          <w:szCs w:val="24"/>
          <w:u w:color="000000" w:themeColor="text1"/>
        </w:rPr>
        <w:tab/>
      </w:r>
      <w:r w:rsidRPr="0057784C">
        <w:rPr>
          <w:szCs w:val="24"/>
          <w:u w:color="000000" w:themeColor="text1"/>
        </w:rPr>
        <w:tab/>
        <w:t>$123 plus 4 percent of the excess over $4,440;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lastRenderedPageBreak/>
        <w:tab/>
        <w:t>Over $6,660 but not over $8,880</w:t>
      </w:r>
      <w:r w:rsidRPr="0057784C">
        <w:rPr>
          <w:szCs w:val="24"/>
          <w:u w:color="000000" w:themeColor="text1"/>
        </w:rPr>
        <w:tab/>
      </w:r>
      <w:r w:rsidRPr="0057784C">
        <w:rPr>
          <w:szCs w:val="24"/>
          <w:u w:color="000000" w:themeColor="text1"/>
        </w:rPr>
        <w:tab/>
      </w:r>
      <w:r w:rsidRPr="0057784C">
        <w:rPr>
          <w:szCs w:val="24"/>
          <w:u w:color="000000" w:themeColor="text1"/>
        </w:rPr>
        <w:tab/>
        <w:t>$212 plus 5 percent of the excess of $6,660;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$8,880 but not over $11,100</w:t>
      </w:r>
      <w:r w:rsidRPr="0057784C">
        <w:rPr>
          <w:szCs w:val="24"/>
          <w:u w:color="000000" w:themeColor="text1"/>
        </w:rPr>
        <w:tab/>
      </w:r>
      <w:r w:rsidRPr="0057784C">
        <w:rPr>
          <w:szCs w:val="24"/>
          <w:u w:color="000000" w:themeColor="text1"/>
        </w:rPr>
        <w:tab/>
      </w:r>
      <w:r w:rsidRPr="0057784C">
        <w:rPr>
          <w:szCs w:val="24"/>
          <w:u w:color="000000" w:themeColor="text1"/>
        </w:rPr>
        <w:tab/>
        <w:t>$323 plus 6 percent of the excess over $8,880;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$11,100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004E6926">
        <w:rPr>
          <w:szCs w:val="24"/>
          <w:u w:color="000000" w:themeColor="text1"/>
        </w:rPr>
        <w:tab/>
      </w:r>
      <w:r w:rsidR="004E6926">
        <w:rPr>
          <w:szCs w:val="24"/>
          <w:u w:color="000000" w:themeColor="text1"/>
        </w:rPr>
        <w:tab/>
      </w:r>
      <w:r w:rsidR="004E6926">
        <w:rPr>
          <w:szCs w:val="24"/>
          <w:u w:color="000000" w:themeColor="text1"/>
        </w:rPr>
        <w:tab/>
      </w:r>
      <w:r w:rsidR="004E6926">
        <w:rPr>
          <w:szCs w:val="24"/>
          <w:u w:color="000000" w:themeColor="text1"/>
        </w:rPr>
        <w:tab/>
      </w:r>
      <w:r w:rsidR="004E6926">
        <w:rPr>
          <w:szCs w:val="24"/>
          <w:u w:color="000000" w:themeColor="text1"/>
        </w:rPr>
        <w:tab/>
      </w:r>
      <w:r w:rsidRPr="0057784C">
        <w:rPr>
          <w:szCs w:val="24"/>
          <w:u w:color="000000" w:themeColor="text1"/>
        </w:rPr>
        <w:t>$456 plus 7 percent of the excess over $11,100.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t>(B)</w:t>
      </w:r>
      <w:r w:rsidRPr="0057784C">
        <w:rPr>
          <w:u w:val="single" w:color="000000" w:themeColor="text1"/>
        </w:rPr>
        <w:t>(1)</w:t>
      </w:r>
      <w:r w:rsidRPr="0057784C">
        <w:rPr>
          <w:u w:color="000000" w:themeColor="text1"/>
        </w:rPr>
        <w:tab/>
      </w:r>
      <w:r w:rsidRPr="0057784C">
        <w:rPr>
          <w:u w:val="single" w:color="000000" w:themeColor="text1"/>
        </w:rPr>
        <w:t>Notwithstanding subsection (A), for taxable years beginning after 2021, a tax is imposed on the South Carolina taxable income of individuals, estates, and trusts and any other entity except those taxed or exempted from taxation under Sections 12</w:t>
      </w:r>
      <w:r w:rsidRPr="0057784C">
        <w:rPr>
          <w:u w:val="single" w:color="000000" w:themeColor="text1"/>
        </w:rPr>
        <w:noBreakHyphen/>
        <w:t>6</w:t>
      </w:r>
      <w:r w:rsidRPr="0057784C">
        <w:rPr>
          <w:u w:val="single" w:color="000000" w:themeColor="text1"/>
        </w:rPr>
        <w:noBreakHyphen/>
        <w:t>530 through 12</w:t>
      </w:r>
      <w:r w:rsidRPr="0057784C">
        <w:rPr>
          <w:u w:val="single" w:color="000000" w:themeColor="text1"/>
        </w:rPr>
        <w:noBreakHyphen/>
        <w:t>6</w:t>
      </w:r>
      <w:r w:rsidRPr="0057784C">
        <w:rPr>
          <w:u w:val="single" w:color="000000" w:themeColor="text1"/>
        </w:rPr>
        <w:noBreakHyphen/>
        <w:t>550 computed at the following rates with the income brackets indexed in accordance with Section 12</w:t>
      </w:r>
      <w:r w:rsidRPr="0057784C">
        <w:rPr>
          <w:u w:val="single" w:color="000000" w:themeColor="text1"/>
        </w:rPr>
        <w:noBreakHyphen/>
        <w:t>6</w:t>
      </w:r>
      <w:r w:rsidRPr="0057784C">
        <w:rPr>
          <w:u w:val="single" w:color="000000" w:themeColor="text1"/>
        </w:rPr>
        <w:noBreakHyphen/>
        <w:t>520: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At Least</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But less than</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Compute the tax as follows</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004E6926">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004E6926">
        <w:rPr>
          <w:szCs w:val="24"/>
          <w:u w:color="000000" w:themeColor="text1"/>
        </w:rPr>
        <w:tab/>
      </w:r>
      <w:r w:rsidR="004E6926">
        <w:rPr>
          <w:szCs w:val="24"/>
          <w:u w:color="000000" w:themeColor="text1"/>
        </w:rPr>
        <w:tab/>
      </w:r>
      <w:r w:rsidRPr="0057784C">
        <w:rPr>
          <w:szCs w:val="24"/>
          <w:u w:val="single" w:color="000000" w:themeColor="text1"/>
        </w:rPr>
        <w:t>0% times the amount</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004E6926">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sidR="004E6926">
        <w:rPr>
          <w:szCs w:val="24"/>
          <w:u w:color="000000" w:themeColor="text1"/>
        </w:rPr>
        <w:tab/>
      </w:r>
      <w:r w:rsidRPr="0057784C">
        <w:rPr>
          <w:szCs w:val="24"/>
          <w:u w:color="000000" w:themeColor="text1"/>
        </w:rPr>
        <w:tab/>
      </w:r>
      <w:r w:rsidRPr="0057784C">
        <w:rPr>
          <w:szCs w:val="24"/>
          <w:u w:val="single" w:color="000000" w:themeColor="text1"/>
        </w:rPr>
        <w:t>3% times the amount minus $96</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or more</w:t>
      </w:r>
      <w:r w:rsidRPr="0057784C">
        <w:rPr>
          <w:szCs w:val="24"/>
          <w:u w:color="000000" w:themeColor="text1"/>
        </w:rPr>
        <w:tab/>
      </w:r>
      <w:r w:rsidRPr="0057784C">
        <w:rPr>
          <w:szCs w:val="24"/>
          <w:u w:color="000000" w:themeColor="text1"/>
        </w:rPr>
        <w:tab/>
      </w:r>
      <w:r w:rsidRPr="0057784C">
        <w:rPr>
          <w:szCs w:val="24"/>
          <w:u w:color="000000" w:themeColor="text1"/>
        </w:rPr>
        <w:tab/>
      </w:r>
      <w:r w:rsidR="004E6926">
        <w:rPr>
          <w:szCs w:val="24"/>
          <w:u w:color="000000" w:themeColor="text1"/>
        </w:rPr>
        <w:tab/>
      </w:r>
      <w:r w:rsidRPr="0057784C">
        <w:rPr>
          <w:szCs w:val="24"/>
          <w:u w:color="000000" w:themeColor="text1"/>
        </w:rPr>
        <w:tab/>
      </w:r>
      <w:r w:rsidRPr="0057784C">
        <w:rPr>
          <w:szCs w:val="24"/>
          <w:u w:val="single" w:color="000000" w:themeColor="text1"/>
        </w:rPr>
        <w:t>6% times the amount minus $577</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84C">
        <w:rPr>
          <w:u w:color="000000" w:themeColor="text1"/>
        </w:rPr>
        <w:tab/>
      </w:r>
      <w:r w:rsidRPr="0057784C">
        <w:rPr>
          <w:u w:color="000000" w:themeColor="text1"/>
        </w:rPr>
        <w:tab/>
      </w:r>
      <w:r w:rsidRPr="0057784C">
        <w:rPr>
          <w:u w:val="single" w:color="000000" w:themeColor="text1"/>
        </w:rPr>
        <w:t>(2)</w:t>
      </w:r>
      <w:r w:rsidRPr="0057784C">
        <w:rPr>
          <w:u w:color="000000" w:themeColor="text1"/>
        </w:rPr>
        <w:tab/>
      </w:r>
      <w:r w:rsidRPr="0057784C">
        <w:rPr>
          <w:u w:val="single" w:color="000000" w:themeColor="text1"/>
        </w:rPr>
        <w:t>Notwithstanding the provisions of item (1), the reduction in the top marginal rate contained in this item, as compared to the same in subsection (A), must be phased</w:t>
      </w:r>
      <w:r w:rsidRPr="0057784C">
        <w:rPr>
          <w:u w:val="single" w:color="000000" w:themeColor="text1"/>
        </w:rPr>
        <w:noBreakHyphen/>
        <w:t>in as provided in item (3).  Until the top marginal rate is fully phased</w:t>
      </w:r>
      <w:r w:rsidRPr="0057784C">
        <w:rPr>
          <w:u w:val="single" w:color="000000" w:themeColor="text1"/>
        </w:rPr>
        <w:noBreakHyphen/>
        <w:t>in, the bracket to which this reduced top marginal rate applies must be the same as the bracket for the top marginal rate provided in subsection (A).  All reductions are permanent and c</w:t>
      </w:r>
      <w:r w:rsidRPr="0057784C">
        <w:rPr>
          <w:u w:val="single"/>
        </w:rPr>
        <w:t>umulative.  During the phase</w:t>
      </w:r>
      <w:r w:rsidRPr="0057784C">
        <w:rPr>
          <w:u w:val="single"/>
        </w:rPr>
        <w:noBreakHyphen/>
        <w:t>in and after, the department shall continue to adjust the brackets as provided in Section 12</w:t>
      </w:r>
      <w:r w:rsidRPr="0057784C">
        <w:rPr>
          <w:u w:val="single"/>
        </w:rPr>
        <w:noBreakHyphen/>
        <w:t>6</w:t>
      </w:r>
      <w:r w:rsidRPr="0057784C">
        <w:rPr>
          <w:u w:val="single"/>
        </w:rPr>
        <w:noBreakHyphen/>
        <w:t>520.  Other than the top marginal rate, no other component of this item is phased-in.</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r>
      <w:r w:rsidRPr="0057784C">
        <w:rPr>
          <w:u w:color="000000" w:themeColor="text1"/>
        </w:rPr>
        <w:tab/>
      </w:r>
      <w:r w:rsidRPr="0057784C">
        <w:rPr>
          <w:u w:val="single" w:color="000000" w:themeColor="text1"/>
        </w:rPr>
        <w:t>(3)</w:t>
      </w:r>
      <w:r w:rsidRPr="0057784C">
        <w:rPr>
          <w:u w:color="000000" w:themeColor="text1"/>
        </w:rPr>
        <w:tab/>
      </w:r>
      <w:r w:rsidRPr="0057784C">
        <w:rPr>
          <w:u w:val="single" w:color="000000" w:themeColor="text1"/>
        </w:rPr>
        <w:t>For Tax Year 2022, the top marginal rate shall equal 6.5%.  Beginning with Tax Year 2023, and each year thereafter until the top marginal rate equals 6%, the top marginal rate must decrease by one</w:t>
      </w:r>
      <w:r w:rsidRPr="0057784C">
        <w:rPr>
          <w:u w:val="single" w:color="000000" w:themeColor="text1"/>
        </w:rPr>
        <w:noBreakHyphen/>
        <w:t>tenth of one percent if general fund revenues are projected to increase by at least five percent in the fiscal year that begins during the tax year. For purposes of this subsection, beginning with the initial forecast required pursuant to Section 11</w:t>
      </w:r>
      <w:r w:rsidRPr="0057784C">
        <w:rPr>
          <w:u w:val="single" w:color="000000" w:themeColor="text1"/>
        </w:rPr>
        <w:noBreakHyphen/>
        <w:t>9</w:t>
      </w:r>
      <w:r w:rsidRPr="0057784C">
        <w:rPr>
          <w:u w:val="single" w:color="000000" w:themeColor="text1"/>
        </w:rPr>
        <w:noBreakHyphen/>
        <w:t xml:space="preserve">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w:t>
      </w:r>
      <w:r w:rsidRPr="0057784C">
        <w:rPr>
          <w:u w:val="single" w:color="000000" w:themeColor="text1"/>
        </w:rPr>
        <w:lastRenderedPageBreak/>
        <w:t>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57784C">
        <w:rPr>
          <w:u w:val="single" w:color="000000" w:themeColor="text1"/>
        </w:rPr>
        <w:noBreakHyphen/>
        <w:t>27</w:t>
      </w:r>
      <w:r w:rsidRPr="0057784C">
        <w:rPr>
          <w:u w:val="single" w:color="000000" w:themeColor="text1"/>
        </w:rPr>
        <w:noBreakHyphen/>
        <w:t>30.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84C">
        <w:rPr>
          <w:u w:color="000000" w:themeColor="text1"/>
        </w:rPr>
        <w:tab/>
      </w:r>
      <w:r w:rsidRPr="0057784C">
        <w:rPr>
          <w:u w:val="single" w:color="000000" w:themeColor="text1"/>
        </w:rPr>
        <w:t>(C)</w:t>
      </w:r>
      <w:r w:rsidRPr="0057784C">
        <w:rPr>
          <w:u w:color="000000" w:themeColor="text1"/>
        </w:rPr>
        <w:tab/>
        <w:t xml:space="preserve">The department may prescribe tax tables consistent with the rates set pursuant to </w:t>
      </w:r>
      <w:r w:rsidRPr="0057784C">
        <w:rPr>
          <w:strike/>
          <w:u w:color="000000" w:themeColor="text1"/>
        </w:rPr>
        <w:t>subsection (A)</w:t>
      </w:r>
      <w:r w:rsidRPr="0057784C">
        <w:rPr>
          <w:u w:color="000000" w:themeColor="text1"/>
        </w:rPr>
        <w:t xml:space="preserve"> </w:t>
      </w:r>
      <w:r w:rsidRPr="0057784C">
        <w:rPr>
          <w:u w:val="single" w:color="000000" w:themeColor="text1"/>
        </w:rPr>
        <w:t>this section</w:t>
      </w:r>
      <w:r w:rsidRPr="0057784C">
        <w:rPr>
          <w:u w:color="000000" w:themeColor="text1"/>
        </w:rPr>
        <w:t>.”</w:t>
      </w:r>
      <w:r w:rsidRPr="0057784C">
        <w:rPr>
          <w:u w:color="000000" w:themeColor="text1"/>
        </w:rPr>
        <w:tab/>
      </w:r>
      <w:r w:rsidRPr="0057784C">
        <w:rPr>
          <w:u w:color="000000" w:themeColor="text1"/>
        </w:rPr>
        <w:tab/>
        <w:t>/</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84C">
        <w:t>Renumber sections to conform.</w:t>
      </w:r>
    </w:p>
    <w:p w:rsid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84C">
        <w:t>Amend title to conform.</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0196" w:rsidSect="009F01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2040" w:rsidRDefault="00E22040"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403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w:t>
      </w:r>
      <w:r w:rsidR="00BA737C">
        <w:t xml:space="preserve">D SECTION 12-6-510, CODE OF LAWS OF SOUTH CAROLINA, 1976, RELATING TO THE INDIVIDUAL INCOME TAX, SO AS TO REDUCE THE TOP MARGINAL RATE TO SIX PERCENT AND TO SPECIFY THE MANNER IN WHICH THE REDUCTION OCCURS; </w:t>
      </w:r>
      <w:r w:rsidR="00BA737C">
        <w:rPr>
          <w:color w:val="000000" w:themeColor="text1"/>
          <w:u w:color="000000" w:themeColor="text1"/>
        </w:rPr>
        <w:t>TO AMEND SECTION 12</w:t>
      </w:r>
      <w:r w:rsidR="00BA737C">
        <w:rPr>
          <w:color w:val="000000" w:themeColor="text1"/>
          <w:u w:color="000000" w:themeColor="text1"/>
        </w:rPr>
        <w:noBreakHyphen/>
        <w:t>6</w:t>
      </w:r>
      <w:r w:rsidR="00BA737C">
        <w:rPr>
          <w:color w:val="000000" w:themeColor="text1"/>
          <w:u w:color="000000" w:themeColor="text1"/>
        </w:rPr>
        <w:noBreakHyphen/>
        <w:t>1171, RELATING TO THE MILITARY RETIRE</w:t>
      </w:r>
      <w:r w:rsidR="00355DCD">
        <w:rPr>
          <w:color w:val="000000" w:themeColor="text1"/>
          <w:u w:color="000000" w:themeColor="text1"/>
        </w:rPr>
        <w:t xml:space="preserve">MENT INCOME DEDUCTION, SO AS TO ALLOW </w:t>
      </w:r>
      <w:r w:rsidR="005E1BCE">
        <w:rPr>
          <w:color w:val="000000" w:themeColor="text1"/>
          <w:u w:color="000000" w:themeColor="text1"/>
        </w:rPr>
        <w:t xml:space="preserve">FOR </w:t>
      </w:r>
      <w:r w:rsidR="00355DCD">
        <w:rPr>
          <w:color w:val="000000" w:themeColor="text1"/>
          <w:u w:color="000000" w:themeColor="text1"/>
        </w:rPr>
        <w:t>THE DEDUCTION OF ALL MILITARY RETIREMENT INCOME</w:t>
      </w:r>
      <w:r w:rsidR="00BA737C">
        <w:rPr>
          <w:color w:val="000000" w:themeColor="text1"/>
          <w:u w:color="000000" w:themeColor="text1"/>
        </w:rPr>
        <w:t>; AND TO REPEAL SECTION 12-6-515 RELATING TO AN ARCHAIC INDIVIDUAL INCOME TAX PROVISION.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t>SECTION</w:t>
      </w:r>
      <w:r w:rsidRPr="00EB07D9">
        <w:rPr>
          <w:color w:val="000000" w:themeColor="text1"/>
          <w:u w:color="000000" w:themeColor="text1"/>
        </w:rPr>
        <w:tab/>
        <w:t>1.</w:t>
      </w:r>
      <w:r w:rsidRPr="00EB07D9">
        <w:rPr>
          <w:color w:val="000000" w:themeColor="text1"/>
          <w:u w:color="000000" w:themeColor="text1"/>
        </w:rPr>
        <w:tab/>
        <w:t>Section 12</w:t>
      </w:r>
      <w:r w:rsidRPr="00EB07D9">
        <w:rPr>
          <w:color w:val="000000" w:themeColor="text1"/>
          <w:u w:color="000000" w:themeColor="text1"/>
        </w:rPr>
        <w:noBreakHyphen/>
        <w:t>6</w:t>
      </w:r>
      <w:r w:rsidRPr="00EB07D9">
        <w:rPr>
          <w:color w:val="000000" w:themeColor="text1"/>
          <w:u w:color="000000" w:themeColor="text1"/>
        </w:rPr>
        <w:noBreakHyphen/>
        <w:t>510 of the 1976 Code is amended to read:</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tab/>
        <w:t>“Section 12</w:t>
      </w:r>
      <w:r w:rsidRPr="00EB07D9">
        <w:rPr>
          <w:color w:val="000000" w:themeColor="text1"/>
          <w:u w:color="000000" w:themeColor="text1"/>
        </w:rPr>
        <w:noBreakHyphen/>
        <w:t>6</w:t>
      </w:r>
      <w:r w:rsidRPr="00EB07D9">
        <w:rPr>
          <w:color w:val="000000" w:themeColor="text1"/>
          <w:u w:color="000000" w:themeColor="text1"/>
        </w:rPr>
        <w:noBreakHyphen/>
        <w:t>510.</w:t>
      </w:r>
      <w:r w:rsidRPr="00EB07D9">
        <w:rPr>
          <w:color w:val="000000" w:themeColor="text1"/>
          <w:u w:color="000000" w:themeColor="text1"/>
        </w:rPr>
        <w:tab/>
        <w:t>(A)</w:t>
      </w:r>
      <w:r w:rsidRPr="00EB07D9">
        <w:rPr>
          <w:color w:val="000000" w:themeColor="text1"/>
          <w:u w:color="000000" w:themeColor="text1"/>
        </w:rPr>
        <w:tab/>
      </w:r>
      <w:r w:rsidRPr="00EB07D9">
        <w:rPr>
          <w:color w:val="000000" w:themeColor="text1"/>
          <w:u w:val="single" w:color="000000" w:themeColor="text1"/>
        </w:rPr>
        <w:t>Subject to the provisions of subsection (B),</w:t>
      </w:r>
      <w:r w:rsidRPr="00EB07D9">
        <w:rPr>
          <w:color w:val="000000" w:themeColor="text1"/>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EB07D9">
        <w:rPr>
          <w:color w:val="000000" w:themeColor="text1"/>
          <w:u w:color="000000" w:themeColor="text1"/>
        </w:rPr>
        <w:noBreakHyphen/>
        <w:t>6</w:t>
      </w:r>
      <w:r w:rsidRPr="00EB07D9">
        <w:rPr>
          <w:color w:val="000000" w:themeColor="text1"/>
          <w:u w:color="000000" w:themeColor="text1"/>
        </w:rPr>
        <w:noBreakHyphen/>
        <w:t>530 through 12</w:t>
      </w:r>
      <w:r w:rsidRPr="00EB07D9">
        <w:rPr>
          <w:color w:val="000000" w:themeColor="text1"/>
          <w:u w:color="000000" w:themeColor="text1"/>
        </w:rPr>
        <w:noBreakHyphen/>
        <w:t>6</w:t>
      </w:r>
      <w:r w:rsidRPr="00EB07D9">
        <w:rPr>
          <w:color w:val="000000" w:themeColor="text1"/>
          <w:u w:color="000000" w:themeColor="text1"/>
        </w:rPr>
        <w:noBreakHyphen/>
        <w:t>550 computed at the following rates with the income brackets indexed in accordance with Section 12</w:t>
      </w:r>
      <w:r w:rsidRPr="00EB07D9">
        <w:rPr>
          <w:color w:val="000000" w:themeColor="text1"/>
          <w:u w:color="000000" w:themeColor="text1"/>
        </w:rPr>
        <w:noBreakHyphen/>
        <w:t>6</w:t>
      </w:r>
      <w:r w:rsidRPr="00EB07D9">
        <w:rPr>
          <w:color w:val="000000" w:themeColor="text1"/>
          <w:u w:color="000000" w:themeColor="text1"/>
        </w:rPr>
        <w:noBreakHyphen/>
        <w:t>520: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Not over $2,220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2.5 percent of taxable income</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$2,220 but not over $4,440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$56 plus 3 percent of the excess over $2,220;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$4,440 but not over $6,660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$123 plus 4 percent of the excess over $4,440;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$6,660 but not over $8,880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$212 plus 5 percent of the excess of $6,660;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$8,880 but not over $11,100</w:t>
      </w:r>
      <w:r>
        <w:rPr>
          <w:color w:val="000000" w:themeColor="text1"/>
          <w:sz w:val="16"/>
          <w:szCs w:val="16"/>
          <w:u w:color="000000" w:themeColor="text1"/>
        </w:rPr>
        <w:tab/>
      </w:r>
      <w:r w:rsidRPr="009817D5">
        <w:rPr>
          <w:color w:val="000000" w:themeColor="text1"/>
          <w:sz w:val="16"/>
          <w:szCs w:val="16"/>
          <w:u w:color="000000" w:themeColor="text1"/>
        </w:rPr>
        <w:tab/>
        <w:t>$323 plus 6 percent of the excess over $8,880;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$11,100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$456 plus 7 percent of the excess over $11,100.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t>(B)</w:t>
      </w:r>
      <w:r w:rsidRPr="00EB07D9">
        <w:rPr>
          <w:color w:val="000000" w:themeColor="text1"/>
          <w:u w:val="single" w:color="000000" w:themeColor="text1"/>
        </w:rPr>
        <w:t>(1)</w:t>
      </w:r>
      <w:r w:rsidRPr="00EB07D9">
        <w:rPr>
          <w:color w:val="000000" w:themeColor="text1"/>
          <w:u w:color="000000" w:themeColor="text1"/>
        </w:rPr>
        <w:tab/>
      </w:r>
      <w:r w:rsidRPr="00EB07D9">
        <w:rPr>
          <w:color w:val="000000" w:themeColor="text1"/>
          <w:u w:val="single" w:color="000000" w:themeColor="text1"/>
        </w:rPr>
        <w:t xml:space="preserve">Notwithstanding subsection (A), for taxable years beginning after 2021, a tax is imposed on the South Carolina taxable </w:t>
      </w:r>
      <w:r w:rsidRPr="00EB07D9">
        <w:rPr>
          <w:color w:val="000000" w:themeColor="text1"/>
          <w:u w:val="single" w:color="000000" w:themeColor="text1"/>
        </w:rPr>
        <w:lastRenderedPageBreak/>
        <w:t>income of individuals, estates, and trusts and any other entity except those taxed or exempted from taxation under Sections 12</w:t>
      </w:r>
      <w:r w:rsidRPr="00EB07D9">
        <w:rPr>
          <w:color w:val="000000" w:themeColor="text1"/>
          <w:u w:val="single" w:color="000000" w:themeColor="text1"/>
        </w:rPr>
        <w:noBreakHyphen/>
        <w:t>6</w:t>
      </w:r>
      <w:r w:rsidRPr="00EB07D9">
        <w:rPr>
          <w:color w:val="000000" w:themeColor="text1"/>
          <w:u w:val="single" w:color="000000" w:themeColor="text1"/>
        </w:rPr>
        <w:noBreakHyphen/>
        <w:t>530 through 12</w:t>
      </w:r>
      <w:r w:rsidRPr="00EB07D9">
        <w:rPr>
          <w:color w:val="000000" w:themeColor="text1"/>
          <w:u w:val="single" w:color="000000" w:themeColor="text1"/>
        </w:rPr>
        <w:noBreakHyphen/>
        <w:t>6</w:t>
      </w:r>
      <w:r w:rsidRPr="00EB07D9">
        <w:rPr>
          <w:color w:val="000000" w:themeColor="text1"/>
          <w:u w:val="single" w:color="000000" w:themeColor="text1"/>
        </w:rPr>
        <w:noBreakHyphen/>
        <w:t>550 computed at the following rates with the income brackets indexed in accordance with Section 12</w:t>
      </w:r>
      <w:r w:rsidRPr="00EB07D9">
        <w:rPr>
          <w:color w:val="000000" w:themeColor="text1"/>
          <w:u w:val="single" w:color="000000" w:themeColor="text1"/>
        </w:rPr>
        <w:noBreakHyphen/>
        <w:t>6</w:t>
      </w:r>
      <w:r w:rsidRPr="00EB07D9">
        <w:rPr>
          <w:color w:val="000000" w:themeColor="text1"/>
          <w:u w:val="single" w:color="000000" w:themeColor="text1"/>
        </w:rPr>
        <w:noBreakHyphen/>
        <w:t>520: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At Least</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But less than</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Compute the tax as follows</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$3,200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0% times the amount</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$3,200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$6,410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3% times the amount minus $96</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$6,410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$9,620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4% times the amount minus $160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$9,620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$12,820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5% times the amount minus $256</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$12,820</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or more</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6% times the amount minus $385</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r>
      <w:r w:rsidRPr="00EB07D9">
        <w:rPr>
          <w:color w:val="000000" w:themeColor="text1"/>
          <w:u w:color="000000" w:themeColor="text1"/>
        </w:rPr>
        <w:tab/>
      </w:r>
      <w:r w:rsidRPr="00EB07D9">
        <w:rPr>
          <w:color w:val="000000" w:themeColor="text1"/>
          <w:u w:val="single" w:color="000000" w:themeColor="text1"/>
        </w:rPr>
        <w:t>(2)</w:t>
      </w:r>
      <w:r w:rsidRPr="00EB07D9">
        <w:rPr>
          <w:color w:val="000000" w:themeColor="text1"/>
          <w:u w:color="000000" w:themeColor="text1"/>
        </w:rPr>
        <w:tab/>
      </w:r>
      <w:r w:rsidRPr="00EB07D9">
        <w:rPr>
          <w:color w:val="000000" w:themeColor="text1"/>
          <w:u w:val="single" w:color="000000" w:themeColor="text1"/>
        </w:rPr>
        <w:t>Notwithstanding the provisions of item (1), the reduction in the top marginal rate contained in this item, as compared to the same in subsection (A), must be phased</w:t>
      </w:r>
      <w:r w:rsidRPr="00EB07D9">
        <w:rPr>
          <w:color w:val="000000" w:themeColor="text1"/>
          <w:u w:val="single" w:color="000000" w:themeColor="text1"/>
        </w:rPr>
        <w:noBreakHyphen/>
        <w:t>in as provided in item (3).  Until the top marginal rate is fully phased</w:t>
      </w:r>
      <w:r w:rsidRPr="00EB07D9">
        <w:rPr>
          <w:color w:val="000000" w:themeColor="text1"/>
          <w:u w:val="single" w:color="000000" w:themeColor="text1"/>
        </w:rPr>
        <w:noBreakHyphen/>
        <w:t>in, the bracket to which this reduced top marginal rate applies must be the same as the bracket for the top marginal rate provided in subsection (A).  All reductions are permanent and cumulative.  During the phase</w:t>
      </w:r>
      <w:r w:rsidRPr="00EB07D9">
        <w:rPr>
          <w:color w:val="000000" w:themeColor="text1"/>
          <w:u w:val="single" w:color="000000" w:themeColor="text1"/>
        </w:rPr>
        <w:noBreakHyphen/>
        <w:t>in and after, the department shall continue to adjust the brackets as provided in Section 12</w:t>
      </w:r>
      <w:r w:rsidRPr="00EB07D9">
        <w:rPr>
          <w:color w:val="000000" w:themeColor="text1"/>
          <w:u w:val="single" w:color="000000" w:themeColor="text1"/>
        </w:rPr>
        <w:noBreakHyphen/>
        <w:t>6</w:t>
      </w:r>
      <w:r w:rsidRPr="00EB07D9">
        <w:rPr>
          <w:color w:val="000000" w:themeColor="text1"/>
          <w:u w:val="single" w:color="000000" w:themeColor="text1"/>
        </w:rPr>
        <w:noBreakHyphen/>
        <w:t xml:space="preserve">520.  </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r>
      <w:r w:rsidRPr="00EB07D9">
        <w:rPr>
          <w:color w:val="000000" w:themeColor="text1"/>
          <w:u w:color="000000" w:themeColor="text1"/>
        </w:rPr>
        <w:tab/>
      </w:r>
      <w:r w:rsidRPr="00EB07D9">
        <w:rPr>
          <w:color w:val="000000" w:themeColor="text1"/>
          <w:u w:val="single" w:color="000000" w:themeColor="text1"/>
        </w:rPr>
        <w:t>(3)</w:t>
      </w:r>
      <w:r w:rsidRPr="00EB07D9">
        <w:rPr>
          <w:color w:val="000000" w:themeColor="text1"/>
          <w:u w:color="000000" w:themeColor="text1"/>
        </w:rPr>
        <w:tab/>
      </w:r>
      <w:r w:rsidRPr="00EB07D9">
        <w:rPr>
          <w:color w:val="000000" w:themeColor="text1"/>
          <w:u w:val="single" w:color="000000" w:themeColor="text1"/>
        </w:rPr>
        <w:t xml:space="preserve">For </w:t>
      </w:r>
      <w:r w:rsidR="0040093D" w:rsidRPr="00EB07D9">
        <w:rPr>
          <w:color w:val="000000" w:themeColor="text1"/>
          <w:u w:val="single" w:color="000000" w:themeColor="text1"/>
        </w:rPr>
        <w:t>Tax Year</w:t>
      </w:r>
      <w:r w:rsidRPr="00EB07D9">
        <w:rPr>
          <w:color w:val="000000" w:themeColor="text1"/>
          <w:u w:val="single" w:color="000000" w:themeColor="text1"/>
        </w:rPr>
        <w:t xml:space="preserve"> 2022, the top marginal rate shall equal 6.8%.  Beginning with </w:t>
      </w:r>
      <w:r w:rsidR="0040093D" w:rsidRPr="00EB07D9">
        <w:rPr>
          <w:color w:val="000000" w:themeColor="text1"/>
          <w:u w:val="single" w:color="000000" w:themeColor="text1"/>
        </w:rPr>
        <w:t>Tax Year</w:t>
      </w:r>
      <w:r w:rsidRPr="00EB07D9">
        <w:rPr>
          <w:color w:val="000000" w:themeColor="text1"/>
          <w:u w:val="single" w:color="000000" w:themeColor="text1"/>
        </w:rPr>
        <w:t xml:space="preserve"> 2023, and each year thereafter until the top marginal rate equals 6%, the top marginal rate must decrease by two</w:t>
      </w:r>
      <w:r w:rsidRPr="00EB07D9">
        <w:rPr>
          <w:color w:val="000000" w:themeColor="text1"/>
          <w:u w:val="single" w:color="000000" w:themeColor="text1"/>
        </w:rPr>
        <w:noBreakHyphen/>
        <w:t>tenths of one percent if general fund revenues are projected to increase by at least five percent in the fiscal year that begins during the tax year. For purposes of this subsection, beginning with the initial forecast required pursuant to Section 11</w:t>
      </w:r>
      <w:r w:rsidRPr="00EB07D9">
        <w:rPr>
          <w:color w:val="000000" w:themeColor="text1"/>
          <w:u w:val="single" w:color="000000" w:themeColor="text1"/>
        </w:rPr>
        <w:noBreakHyphen/>
        <w:t>9</w:t>
      </w:r>
      <w:r w:rsidRPr="00EB07D9">
        <w:rPr>
          <w:color w:val="000000" w:themeColor="text1"/>
          <w:u w:val="single" w:color="000000" w:themeColor="text1"/>
        </w:rPr>
        <w:noBreakHyphen/>
        <w:t>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EB07D9">
        <w:rPr>
          <w:color w:val="000000" w:themeColor="text1"/>
          <w:u w:val="single" w:color="000000" w:themeColor="text1"/>
        </w:rPr>
        <w:noBreakHyphen/>
        <w:t>27</w:t>
      </w:r>
      <w:r w:rsidRPr="00EB07D9">
        <w:rPr>
          <w:color w:val="000000" w:themeColor="text1"/>
          <w:u w:val="single" w:color="000000" w:themeColor="text1"/>
        </w:rPr>
        <w:noBreakHyphen/>
        <w:t>30.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lastRenderedPageBreak/>
        <w:tab/>
      </w:r>
      <w:r w:rsidRPr="00EB07D9">
        <w:rPr>
          <w:color w:val="000000" w:themeColor="text1"/>
          <w:u w:val="single" w:color="000000" w:themeColor="text1"/>
        </w:rPr>
        <w:t>(C)</w:t>
      </w:r>
      <w:r w:rsidRPr="00EB07D9">
        <w:rPr>
          <w:color w:val="000000" w:themeColor="text1"/>
          <w:u w:color="000000" w:themeColor="text1"/>
        </w:rPr>
        <w:tab/>
        <w:t xml:space="preserve">The department may prescribe tax tables consistent with the rates set pursuant to </w:t>
      </w:r>
      <w:r w:rsidRPr="00EB07D9">
        <w:rPr>
          <w:strike/>
          <w:color w:val="000000" w:themeColor="text1"/>
          <w:u w:color="000000" w:themeColor="text1"/>
        </w:rPr>
        <w:t>subsection (A)</w:t>
      </w:r>
      <w:r w:rsidRPr="00EB07D9">
        <w:rPr>
          <w:color w:val="000000" w:themeColor="text1"/>
          <w:u w:color="000000" w:themeColor="text1"/>
        </w:rPr>
        <w:t xml:space="preserve"> </w:t>
      </w:r>
      <w:r w:rsidRPr="00EB07D9">
        <w:rPr>
          <w:color w:val="000000" w:themeColor="text1"/>
          <w:u w:val="single" w:color="000000" w:themeColor="text1"/>
        </w:rPr>
        <w:t>this section</w:t>
      </w:r>
      <w:r w:rsidRPr="00EB07D9">
        <w:rPr>
          <w:color w:val="000000" w:themeColor="text1"/>
          <w:u w:color="000000" w:themeColor="text1"/>
        </w:rPr>
        <w:t>.”</w:t>
      </w:r>
    </w:p>
    <w:p w:rsid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37C"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4736DD">
        <w:rPr>
          <w:color w:val="000000" w:themeColor="text1"/>
          <w:u w:color="000000" w:themeColor="text1"/>
        </w:rPr>
        <w:t xml:space="preserve">A. </w:t>
      </w:r>
      <w:r w:rsidR="004736DD">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w:t>
      </w:r>
      <w:r>
        <w:rPr>
          <w:color w:val="000000" w:themeColor="text1"/>
          <w:u w:color="000000" w:themeColor="text1"/>
        </w:rPr>
        <w:noBreakHyphen/>
        <w:t>1171(A) of the 1976 Code is amended to read:</w:t>
      </w:r>
    </w:p>
    <w:p w:rsidR="00BA737C" w:rsidRPr="00672461"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55DCD" w:rsidRPr="009B40C7" w:rsidRDefault="00BA737C"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461">
        <w:rPr>
          <w:color w:val="000000" w:themeColor="text1"/>
        </w:rPr>
        <w:tab/>
      </w:r>
      <w:r>
        <w:rPr>
          <w:color w:val="000000" w:themeColor="text1"/>
        </w:rPr>
        <w:t>“</w:t>
      </w:r>
      <w:r w:rsidR="00355DCD" w:rsidRPr="009B40C7">
        <w:rPr>
          <w:color w:val="000000" w:themeColor="text1"/>
          <w:u w:color="000000" w:themeColor="text1"/>
        </w:rPr>
        <w:t>(A)</w:t>
      </w:r>
      <w:r w:rsidR="00355DCD" w:rsidRPr="009B40C7">
        <w:rPr>
          <w:strike/>
          <w:color w:val="000000" w:themeColor="text1"/>
          <w:u w:color="000000" w:themeColor="text1"/>
        </w:rPr>
        <w:t>(1)</w:t>
      </w:r>
      <w:r w:rsidR="00355DCD" w:rsidRPr="009B40C7">
        <w:rPr>
          <w:color w:val="000000" w:themeColor="text1"/>
          <w:u w:color="000000" w:themeColor="text1"/>
        </w:rPr>
        <w:tab/>
        <w:t xml:space="preserve">An individual taxpayer </w:t>
      </w:r>
      <w:r w:rsidR="00355DCD" w:rsidRPr="009B40C7">
        <w:rPr>
          <w:strike/>
          <w:color w:val="000000" w:themeColor="text1"/>
          <w:u w:color="000000" w:themeColor="text1"/>
        </w:rPr>
        <w:t>who has</w:t>
      </w:r>
      <w:r w:rsidR="00355DCD" w:rsidRPr="009B40C7">
        <w:rPr>
          <w:color w:val="000000" w:themeColor="text1"/>
          <w:u w:color="000000" w:themeColor="text1"/>
        </w:rPr>
        <w:t xml:space="preserve"> </w:t>
      </w:r>
      <w:r w:rsidR="00355DCD" w:rsidRPr="009B40C7">
        <w:rPr>
          <w:color w:val="000000" w:themeColor="text1"/>
          <w:u w:val="single" w:color="000000" w:themeColor="text1"/>
        </w:rPr>
        <w:t>may deduct all</w:t>
      </w:r>
      <w:r w:rsidR="00355DCD" w:rsidRPr="009B40C7">
        <w:rPr>
          <w:color w:val="000000" w:themeColor="text1"/>
          <w:u w:color="000000" w:themeColor="text1"/>
        </w:rPr>
        <w:t xml:space="preserve"> military retirement income</w:t>
      </w:r>
      <w:r w:rsidR="00355DCD" w:rsidRPr="009B40C7">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00355DCD" w:rsidRPr="009B40C7">
        <w:rPr>
          <w:strike/>
          <w:color w:val="000000" w:themeColor="text1"/>
          <w:u w:color="000000" w:themeColor="text1"/>
        </w:rPr>
        <w:noBreakHyphen/>
        <w:t>6</w:t>
      </w:r>
      <w:r w:rsidR="00355DCD" w:rsidRPr="009B40C7">
        <w:rPr>
          <w:strike/>
          <w:color w:val="000000" w:themeColor="text1"/>
          <w:u w:color="000000" w:themeColor="text1"/>
        </w:rPr>
        <w:noBreakHyphen/>
        <w:t>3330.</w:t>
      </w:r>
    </w:p>
    <w:p w:rsidR="00355DCD" w:rsidRPr="00BA737C" w:rsidRDefault="00355DCD"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55DCD">
        <w:rPr>
          <w:color w:val="000000" w:themeColor="text1"/>
          <w:u w:color="000000" w:themeColor="text1"/>
        </w:rPr>
        <w:tab/>
      </w:r>
      <w:r w:rsidRPr="00355DCD">
        <w:rPr>
          <w:color w:val="000000" w:themeColor="text1"/>
          <w:u w:color="000000" w:themeColor="text1"/>
        </w:rPr>
        <w:tab/>
      </w:r>
      <w:r w:rsidRPr="009B40C7">
        <w:rPr>
          <w:strike/>
          <w:color w:val="000000" w:themeColor="text1"/>
          <w:u w:color="000000" w:themeColor="text1"/>
        </w:rPr>
        <w:t>(2)</w:t>
      </w:r>
      <w:r w:rsidRPr="00355DCD">
        <w:rPr>
          <w:color w:val="000000" w:themeColor="text1"/>
          <w:u w:color="000000" w:themeColor="text1"/>
        </w:rPr>
        <w:tab/>
      </w:r>
      <w:r w:rsidRPr="009B40C7">
        <w:rPr>
          <w:strike/>
          <w:color w:val="000000" w:themeColor="text1"/>
          <w:u w:color="000000" w:themeColor="text1"/>
        </w:rPr>
        <w:t>Notwithstanding item (1), beginning in the year in which an individual taxpayer reaches age sixty</w:t>
      </w:r>
      <w:r w:rsidRPr="009B40C7">
        <w:rPr>
          <w:strike/>
          <w:color w:val="000000" w:themeColor="text1"/>
          <w:u w:color="000000" w:themeColor="text1"/>
        </w:rPr>
        <w:noBreakHyphen/>
        <w:t>five, an individual taxpayer who has military retirement income may deduct up to thirty thousand dollars of military retirement income</w:t>
      </w:r>
      <w:r w:rsidRPr="009B40C7">
        <w:rPr>
          <w:color w:val="000000" w:themeColor="text1"/>
          <w:u w:color="000000" w:themeColor="text1"/>
        </w:rPr>
        <w:t xml:space="preserve"> that is included in South Carolina taxable income.”</w:t>
      </w:r>
    </w:p>
    <w:p w:rsidR="00BA737C" w:rsidRP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A737C"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0C7">
        <w:rPr>
          <w:color w:val="000000" w:themeColor="text1"/>
          <w:u w:color="000000" w:themeColor="text1"/>
        </w:rPr>
        <w:t>B.</w:t>
      </w:r>
      <w:r w:rsidRPr="009B40C7">
        <w:rPr>
          <w:color w:val="000000" w:themeColor="text1"/>
          <w:u w:color="000000" w:themeColor="text1"/>
        </w:rPr>
        <w:tab/>
        <w:t>This SECTION takes effect upon approval by the Governor and first applies to tax years beginning after 2021.</w:t>
      </w:r>
    </w:p>
    <w:p w:rsidR="00355DCD" w:rsidRPr="00EB07D9"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4E6926">
        <w:rPr>
          <w:color w:val="000000" w:themeColor="text1"/>
          <w:u w:color="000000" w:themeColor="text1"/>
        </w:rPr>
        <w:t>.</w:t>
      </w:r>
      <w:r w:rsidR="004E6926">
        <w:rPr>
          <w:color w:val="000000" w:themeColor="text1"/>
          <w:u w:color="000000" w:themeColor="text1"/>
        </w:rPr>
        <w:tab/>
        <w:t>A.</w:t>
      </w:r>
      <w:r w:rsidR="004E6926">
        <w:rPr>
          <w:color w:val="000000" w:themeColor="text1"/>
          <w:u w:color="000000" w:themeColor="text1"/>
        </w:rPr>
        <w:tab/>
        <w:t xml:space="preserve"> </w:t>
      </w:r>
      <w:r w:rsidR="009817D5" w:rsidRPr="00EB07D9">
        <w:rPr>
          <w:color w:val="000000" w:themeColor="text1"/>
          <w:u w:color="000000" w:themeColor="text1"/>
        </w:rPr>
        <w:t>Section 12</w:t>
      </w:r>
      <w:r w:rsidR="009817D5" w:rsidRPr="00EB07D9">
        <w:rPr>
          <w:color w:val="000000" w:themeColor="text1"/>
          <w:u w:color="000000" w:themeColor="text1"/>
        </w:rPr>
        <w:noBreakHyphen/>
        <w:t>6</w:t>
      </w:r>
      <w:r w:rsidR="009817D5" w:rsidRPr="00EB07D9">
        <w:rPr>
          <w:color w:val="000000" w:themeColor="text1"/>
          <w:u w:color="000000" w:themeColor="text1"/>
        </w:rPr>
        <w:noBreakHyphen/>
        <w:t>515 of the 1976 Code is repealed.</w:t>
      </w:r>
    </w:p>
    <w:p w:rsidR="00D76AA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A9" w:rsidRPr="00EB07D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on January first of the first tax year in which the provisions of Section 12-6-510(B) are fully phased-in and the top marginal rate equals six percent.</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313"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9817D5" w:rsidRPr="00EB07D9">
        <w:rPr>
          <w:color w:val="000000" w:themeColor="text1"/>
          <w:u w:color="000000" w:themeColor="text1"/>
        </w:rPr>
        <w:t>.</w:t>
      </w:r>
      <w:r w:rsidR="009817D5" w:rsidRPr="00EB07D9">
        <w:rPr>
          <w:color w:val="000000" w:themeColor="text1"/>
          <w:u w:color="000000" w:themeColor="text1"/>
        </w:rPr>
        <w:tab/>
        <w:t>This act takes effect upon approval by the Governor.</w:t>
      </w:r>
    </w:p>
    <w:p w:rsidR="002B4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6983" w:rsidRDefault="00C46983" w:rsidP="00C46983">
      <w:pPr>
        <w:suppressAutoHyphens/>
      </w:pPr>
    </w:p>
    <w:sectPr w:rsidR="00C46983" w:rsidSect="009F01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DCD" w:rsidRDefault="00355DCD" w:rsidP="009F0C77">
      <w:r>
        <w:separator/>
      </w:r>
    </w:p>
  </w:endnote>
  <w:endnote w:type="continuationSeparator" w:id="0">
    <w:p w:rsidR="00355DCD" w:rsidRDefault="00355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869B91-F508-492E-AC99-135506C49683}"/>
    <w:embedBold r:id="rId2" w:fontKey="{525A5690-C85C-49A4-821A-56014645A585}"/>
  </w:font>
  <w:font w:name="Calibri">
    <w:panose1 w:val="020F0502020204030204"/>
    <w:charset w:val="00"/>
    <w:family w:val="swiss"/>
    <w:pitch w:val="variable"/>
    <w:sig w:usb0="E4002EFF" w:usb1="C000247B" w:usb2="00000009" w:usb3="00000000" w:csb0="000001FF" w:csb1="00000000"/>
    <w:embedRegular r:id="rId3" w:fontKey="{6B825825-2FD3-4407-941C-1AD2F98717FF}"/>
  </w:font>
  <w:font w:name="Segoe UI">
    <w:panose1 w:val="020B0502040204020203"/>
    <w:charset w:val="00"/>
    <w:family w:val="swiss"/>
    <w:pitch w:val="variable"/>
    <w:sig w:usb0="E4002EFF" w:usb1="C000E47F" w:usb2="00000009" w:usb3="00000000" w:csb0="000001FF" w:csb1="00000000"/>
    <w:embedRegular r:id="rId4" w:fontKey="{2968839F-2A41-4159-B5AF-1F20D4D959A3}"/>
  </w:font>
  <w:font w:name="Cambria">
    <w:panose1 w:val="02040503050406030204"/>
    <w:charset w:val="00"/>
    <w:family w:val="roman"/>
    <w:pitch w:val="variable"/>
    <w:sig w:usb0="E00006FF" w:usb1="420024FF" w:usb2="02000000" w:usb3="00000000" w:csb0="0000019F" w:csb1="00000000"/>
    <w:embedRegular r:id="rId5" w:fontKey="{3E2CEB34-A0D8-4C2F-97FD-AA77121BED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7A" w:rsidRPr="00E22040" w:rsidRDefault="00E22040" w:rsidP="00E22040">
    <w:pPr>
      <w:pStyle w:val="Footer"/>
      <w:tabs>
        <w:tab w:val="clear" w:pos="4680"/>
        <w:tab w:val="clear" w:pos="9360"/>
        <w:tab w:val="center" w:pos="2995"/>
      </w:tabs>
      <w:spacing w:before="120"/>
    </w:pPr>
    <w:r>
      <w:t>[4880</w:t>
    </w:r>
    <w:r w:rsidR="009F0196">
      <w:t>-</w:t>
    </w:r>
    <w:r w:rsidR="009F0196">
      <w:fldChar w:fldCharType="begin"/>
    </w:r>
    <w:r w:rsidR="009F0196">
      <w:instrText xml:space="preserve"> PAGE  \* MERGEFORMAT </w:instrText>
    </w:r>
    <w:r w:rsidR="009F0196">
      <w:fldChar w:fldCharType="separate"/>
    </w:r>
    <w:r w:rsidR="00C46983">
      <w:rPr>
        <w:noProof/>
      </w:rPr>
      <w:t>3</w:t>
    </w:r>
    <w:r w:rsidR="009F0196">
      <w:fldChar w:fldCharType="end"/>
    </w:r>
    <w:r w:rsidR="009F0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96" w:rsidRPr="00E22040" w:rsidRDefault="009F0196" w:rsidP="00E22040">
    <w:pPr>
      <w:pStyle w:val="Footer"/>
      <w:tabs>
        <w:tab w:val="clear" w:pos="4680"/>
        <w:tab w:val="clear" w:pos="9360"/>
        <w:tab w:val="center" w:pos="2995"/>
      </w:tabs>
      <w:spacing w:before="120"/>
    </w:pPr>
    <w:r>
      <w:t>[4880]</w:t>
    </w:r>
    <w:r>
      <w:tab/>
    </w:r>
    <w:r>
      <w:fldChar w:fldCharType="begin"/>
    </w:r>
    <w:r>
      <w:instrText xml:space="preserve"> PAGE  \* MERGEFORMAT </w:instrText>
    </w:r>
    <w:r>
      <w:fldChar w:fldCharType="separate"/>
    </w:r>
    <w:r w:rsidR="00C469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DCD" w:rsidRDefault="00355DCD" w:rsidP="009F0C77">
      <w:r>
        <w:separator/>
      </w:r>
    </w:p>
  </w:footnote>
  <w:footnote w:type="continuationSeparator" w:id="0">
    <w:p w:rsidR="00355DCD" w:rsidRDefault="00355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0DG22"/>
    <w:docVar w:name="CoverBillType" w:val="b"/>
    <w:docVar w:name="DocPath" w:val="L:\Council\bills\NBD\11310DG22.DOCX"/>
    <w:docVar w:name="dvBillNumber" w:val="4880"/>
    <w:docVar w:name="dvBillNumberPrefix" w:val="H. "/>
    <w:docVar w:name="dvOriginalBody" w:val="House"/>
    <w:docVar w:name="dvSteno" w:val="NBD"/>
    <w:docVar w:name="NameofBody" w:val="h"/>
    <w:docVar w:name="vGroup2" w:val="Council"/>
  </w:docVars>
  <w:rsids>
    <w:rsidRoot w:val="00740313"/>
    <w:rsid w:val="00011869"/>
    <w:rsid w:val="00015CD6"/>
    <w:rsid w:val="000E0100"/>
    <w:rsid w:val="000E1785"/>
    <w:rsid w:val="000F40FA"/>
    <w:rsid w:val="001035F1"/>
    <w:rsid w:val="0010776B"/>
    <w:rsid w:val="001278E3"/>
    <w:rsid w:val="001306A9"/>
    <w:rsid w:val="00133E66"/>
    <w:rsid w:val="001435A3"/>
    <w:rsid w:val="00146ED3"/>
    <w:rsid w:val="00151044"/>
    <w:rsid w:val="001D08F2"/>
    <w:rsid w:val="001D3A58"/>
    <w:rsid w:val="001D525B"/>
    <w:rsid w:val="001D7F4F"/>
    <w:rsid w:val="001E412D"/>
    <w:rsid w:val="00205238"/>
    <w:rsid w:val="002321B6"/>
    <w:rsid w:val="00232912"/>
    <w:rsid w:val="00250967"/>
    <w:rsid w:val="002543C8"/>
    <w:rsid w:val="0025541D"/>
    <w:rsid w:val="00284AAE"/>
    <w:rsid w:val="002B437A"/>
    <w:rsid w:val="002E5912"/>
    <w:rsid w:val="00301B21"/>
    <w:rsid w:val="00325348"/>
    <w:rsid w:val="0032732C"/>
    <w:rsid w:val="00336AD0"/>
    <w:rsid w:val="00355DCD"/>
    <w:rsid w:val="0037079A"/>
    <w:rsid w:val="003C4DAB"/>
    <w:rsid w:val="003D01E8"/>
    <w:rsid w:val="003E5288"/>
    <w:rsid w:val="003F6D79"/>
    <w:rsid w:val="0040093D"/>
    <w:rsid w:val="0041760A"/>
    <w:rsid w:val="00417C01"/>
    <w:rsid w:val="004403BD"/>
    <w:rsid w:val="00461441"/>
    <w:rsid w:val="004736DD"/>
    <w:rsid w:val="004809EE"/>
    <w:rsid w:val="004A570A"/>
    <w:rsid w:val="004E6926"/>
    <w:rsid w:val="004E7D54"/>
    <w:rsid w:val="005273C6"/>
    <w:rsid w:val="00530A69"/>
    <w:rsid w:val="00545593"/>
    <w:rsid w:val="00556EBF"/>
    <w:rsid w:val="00577C6C"/>
    <w:rsid w:val="005A62FE"/>
    <w:rsid w:val="005C2FE2"/>
    <w:rsid w:val="005E1BCE"/>
    <w:rsid w:val="005E2BC9"/>
    <w:rsid w:val="00605102"/>
    <w:rsid w:val="006215AA"/>
    <w:rsid w:val="006429F3"/>
    <w:rsid w:val="006913C9"/>
    <w:rsid w:val="0069470D"/>
    <w:rsid w:val="006D58AA"/>
    <w:rsid w:val="00734F00"/>
    <w:rsid w:val="00736959"/>
    <w:rsid w:val="00740313"/>
    <w:rsid w:val="007A70AE"/>
    <w:rsid w:val="008362E8"/>
    <w:rsid w:val="0085786E"/>
    <w:rsid w:val="008A1768"/>
    <w:rsid w:val="008A489F"/>
    <w:rsid w:val="008F0F33"/>
    <w:rsid w:val="008F4429"/>
    <w:rsid w:val="0094021A"/>
    <w:rsid w:val="009817D5"/>
    <w:rsid w:val="009B44AF"/>
    <w:rsid w:val="009C6A0B"/>
    <w:rsid w:val="009F019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37C"/>
    <w:rsid w:val="00BE3C22"/>
    <w:rsid w:val="00C0345E"/>
    <w:rsid w:val="00C21ABE"/>
    <w:rsid w:val="00C31C95"/>
    <w:rsid w:val="00C3483A"/>
    <w:rsid w:val="00C46983"/>
    <w:rsid w:val="00C74E9D"/>
    <w:rsid w:val="00C826DD"/>
    <w:rsid w:val="00C82FD3"/>
    <w:rsid w:val="00C92819"/>
    <w:rsid w:val="00CC6B7B"/>
    <w:rsid w:val="00CD2089"/>
    <w:rsid w:val="00D07CFB"/>
    <w:rsid w:val="00D73A67"/>
    <w:rsid w:val="00D76AA9"/>
    <w:rsid w:val="00D970A9"/>
    <w:rsid w:val="00DF3845"/>
    <w:rsid w:val="00E22040"/>
    <w:rsid w:val="00E41911"/>
    <w:rsid w:val="00E44B57"/>
    <w:rsid w:val="00E66091"/>
    <w:rsid w:val="00E92EEF"/>
    <w:rsid w:val="00EA0242"/>
    <w:rsid w:val="00EF2368"/>
    <w:rsid w:val="00F042E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6E482"/>
  <w15:docId w15:val="{831212DE-FF94-4105-9695-138B135F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4B8C8-4658-449F-8721-A8E5AFD36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1682</Words>
  <Characters>8688</Characters>
  <Application>Microsoft Office Word</Application>
  <DocSecurity>0</DocSecurity>
  <Lines>225</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4880 Text of Previous Version (Feb. 23, 2022) - South Carolina Legislature Online</dc:title>
  <dc:creator>Niki Downey</dc:creator>
  <cp:lastModifiedBy>Danny Crook</cp:lastModifiedBy>
  <cp:revision>2</cp:revision>
  <cp:lastPrinted>2022-01-27T15:33:00Z</cp:lastPrinted>
  <dcterms:created xsi:type="dcterms:W3CDTF">2022-02-23T15:52:00Z</dcterms:created>
  <dcterms:modified xsi:type="dcterms:W3CDTF">2022-02-23T15:52:00Z</dcterms:modified>
</cp:coreProperties>
</file>