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C81"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03A9" w:rsidRP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2022</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Pr="001403A9" w:rsidRDefault="001403A9" w:rsidP="001403A9">
      <w:pPr>
        <w:tabs>
          <w:tab w:val="right" w:pos="5933"/>
        </w:tabs>
        <w:suppressAutoHyphens/>
      </w:pPr>
      <w:r>
        <w:tab/>
      </w:r>
      <w:r>
        <w:rPr>
          <w:b/>
          <w:sz w:val="36"/>
        </w:rPr>
        <w:t>H. 5075</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West</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4/12/22--S.</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1403A9" w:rsidRP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03A9"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0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1"/>
    </w:p>
    <w:p w:rsidR="00D80C81" w:rsidRDefault="00D8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6B0">
        <w:t>SECTION</w:t>
      </w:r>
      <w:r w:rsidRPr="00B456B0">
        <w:tab/>
        <w:t>1.</w:t>
      </w:r>
      <w:r w:rsidRPr="00B456B0">
        <w:tab/>
        <w:t>A.</w:t>
      </w:r>
      <w:r w:rsidRPr="00B456B0">
        <w:tab/>
      </w:r>
      <w:r w:rsidRPr="00B456B0">
        <w:tab/>
        <w:t>Section 12</w:t>
      </w:r>
      <w:r w:rsidRPr="00B456B0">
        <w:noBreakHyphen/>
        <w:t>6</w:t>
      </w:r>
      <w:r w:rsidRPr="00B456B0">
        <w:noBreakHyphen/>
        <w:t>3795 of the 1976 Code, as added by Act 137 of 2020, is amended to read:</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tab/>
        <w:t>“</w:t>
      </w:r>
      <w:r w:rsidRPr="00B456B0">
        <w:rPr>
          <w:lang w:val="en-PH"/>
        </w:rPr>
        <w:t>Section 12</w:t>
      </w:r>
      <w:r w:rsidRPr="00B456B0">
        <w:rPr>
          <w:lang w:val="en-PH"/>
        </w:rPr>
        <w:noBreakHyphen/>
        <w:t>6</w:t>
      </w:r>
      <w:r w:rsidRPr="00B456B0">
        <w:rPr>
          <w:lang w:val="en-PH"/>
        </w:rPr>
        <w:noBreakHyphen/>
        <w:t>3795.</w:t>
      </w:r>
      <w:r w:rsidRPr="00B456B0">
        <w:rPr>
          <w:lang w:val="en-PH"/>
        </w:rPr>
        <w:tab/>
        <w:t>(A)</w:t>
      </w:r>
      <w:r w:rsidRPr="00B456B0">
        <w:rPr>
          <w:lang w:val="en-PH"/>
        </w:rPr>
        <w:tab/>
        <w:t>As used in this section:</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(1)</w:t>
      </w:r>
      <w:r w:rsidRPr="00B456B0">
        <w:rPr>
          <w:lang w:val="en-PH"/>
        </w:rPr>
        <w:tab/>
        <w:t xml:space="preserve">‘Eligibility statement’ means a statement authorized and issued by the South Carolina </w:t>
      </w:r>
      <w:r w:rsidRPr="00B456B0">
        <w:rPr>
          <w:u w:val="single"/>
          <w:lang w:val="en-PH"/>
        </w:rPr>
        <w:t>State</w:t>
      </w:r>
      <w:r w:rsidRPr="00B456B0">
        <w:rPr>
          <w:lang w:val="en-PH"/>
        </w:rPr>
        <w:t xml:space="preserve"> Housing and Finance Development Authority certifying that a given project qualifies for the South Carolina housing tax credit</w:t>
      </w:r>
      <w:r w:rsidRPr="00B456B0">
        <w:rPr>
          <w:u w:val="single"/>
          <w:lang w:val="en-PH"/>
        </w:rPr>
        <w:t>, including any preliminary determination thereof</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‘Federal housing tax credit’ means the federal tax credit as provided in Section 42 of the Internal Revenue Code of 1986, as amended.</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r>
      <w:r w:rsidRPr="00B456B0">
        <w:rPr>
          <w:lang w:val="en-PH"/>
        </w:rPr>
        <w:tab/>
        <w:t>(3)</w:t>
      </w:r>
      <w:r w:rsidRPr="00B456B0">
        <w:rPr>
          <w:lang w:val="en-PH"/>
        </w:rPr>
        <w:tab/>
        <w:t>‘Median income’ means those incomes that are determined by the federal Department of Housing and Urban Development guidelines and adjusted for family size.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(5)</w:t>
      </w:r>
      <w:r w:rsidRPr="00B456B0">
        <w:rPr>
          <w:lang w:val="en-PH"/>
        </w:rPr>
        <w:tab/>
        <w:t>‘Qualified project’ means a qualified low</w:t>
      </w:r>
      <w:r w:rsidRPr="00B456B0">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(6)</w:t>
      </w:r>
      <w:r w:rsidRPr="00B456B0">
        <w:rPr>
          <w:lang w:val="en-PH"/>
        </w:rPr>
        <w:tab/>
        <w:t>‘Taxpayer’ means a sole proprietor, partnership, corporation of any classification, limited liability company, or association taxable as a business entity that is subject to South Carolina taxes pursuant to Section 12</w:t>
      </w:r>
      <w:r w:rsidRPr="00B456B0">
        <w:rPr>
          <w:lang w:val="en-PH"/>
        </w:rPr>
        <w:noBreakHyphen/>
        <w:t>6</w:t>
      </w:r>
      <w:r w:rsidRPr="00B456B0">
        <w:rPr>
          <w:lang w:val="en-PH"/>
        </w:rPr>
        <w:noBreakHyphen/>
        <w:t>510, Section 12</w:t>
      </w:r>
      <w:r w:rsidRPr="00B456B0">
        <w:rPr>
          <w:lang w:val="en-PH"/>
        </w:rPr>
        <w:noBreakHyphen/>
        <w:t>6</w:t>
      </w:r>
      <w:r w:rsidRPr="00B456B0">
        <w:rPr>
          <w:lang w:val="en-PH"/>
        </w:rPr>
        <w:noBreakHyphen/>
        <w:t>530, Chapter 11, Title 12, or Chapter 7, Title 38.</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(7)</w:t>
      </w:r>
      <w:r w:rsidRPr="00B456B0">
        <w:rPr>
          <w:lang w:val="en-PH"/>
        </w:rPr>
        <w:tab/>
      </w:r>
      <w:r w:rsidRPr="00B456B0">
        <w:rPr>
          <w:u w:val="single"/>
          <w:lang w:val="en-PH"/>
        </w:rPr>
        <w:t xml:space="preserve">‘Federal 9 percent tax credit’ means the federal housing tax credit described in Section </w:t>
      </w:r>
      <w:r w:rsidRPr="00B456B0">
        <w:rPr>
          <w:u w:val="single"/>
          <w:shd w:val="clear" w:color="auto" w:fill="FFFFFF"/>
        </w:rPr>
        <w:t>42(b)(1)(B)(i) of the Internal Revenue Code.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(8)</w:t>
      </w:r>
      <w:r w:rsidRPr="00B456B0">
        <w:rPr>
          <w:lang w:val="en-PH"/>
        </w:rPr>
        <w:tab/>
      </w:r>
      <w:r w:rsidRPr="00B456B0">
        <w:rPr>
          <w:u w:val="single"/>
          <w:lang w:val="en-PH"/>
        </w:rPr>
        <w:t xml:space="preserve">‘Federal 4 percent tax credit’ means the federal housing tax credit described in Section </w:t>
      </w:r>
      <w:r w:rsidRPr="00B456B0">
        <w:rPr>
          <w:u w:val="single"/>
          <w:shd w:val="clear" w:color="auto" w:fill="FFFFFF"/>
        </w:rPr>
        <w:t xml:space="preserve">42(b)(1)(B)(ii) of the Internal Revenue Code. </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(9)</w:t>
      </w:r>
      <w:r w:rsidRPr="00B456B0">
        <w:rPr>
          <w:lang w:val="en-PH"/>
        </w:rPr>
        <w:tab/>
      </w:r>
      <w:r w:rsidRPr="00B456B0">
        <w:rPr>
          <w:u w:val="single"/>
          <w:lang w:val="en-PH"/>
        </w:rPr>
        <w:t>‘Credit period’ has the meaning defined in Section 42(f)(1) of the Internal Revenue Code.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(10)</w:t>
      </w:r>
      <w:r w:rsidRPr="00B456B0">
        <w:rPr>
          <w:lang w:val="en-PH"/>
        </w:rPr>
        <w:tab/>
      </w:r>
      <w:r w:rsidRPr="00B456B0">
        <w:rPr>
          <w:u w:val="single"/>
          <w:lang w:val="en-PH"/>
        </w:rPr>
        <w:t>‘State housing authority’ means the South Carolina State Housing Finance and Development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(11)</w:t>
      </w:r>
      <w:r w:rsidRPr="00B456B0">
        <w:rPr>
          <w:lang w:val="en-PH"/>
        </w:rPr>
        <w:tab/>
      </w:r>
      <w:r w:rsidRPr="00B456B0">
        <w:rPr>
          <w:u w:val="single"/>
          <w:lang w:val="en-PH"/>
        </w:rPr>
        <w:t>‘Department of Revenue’ means the South Carolina Department of Revenue.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(B)(1)</w:t>
      </w:r>
      <w:r w:rsidRPr="00B456B0">
        <w:rPr>
          <w:lang w:val="en-PH"/>
        </w:rPr>
        <w:tab/>
        <w:t>A state tax credit pursuant to this section may be claimed against income taxes imposed by Section 12</w:t>
      </w:r>
      <w:r w:rsidRPr="00B456B0">
        <w:rPr>
          <w:lang w:val="en-PH"/>
        </w:rPr>
        <w:noBreakHyphen/>
        <w:t>6</w:t>
      </w:r>
      <w:r w:rsidRPr="00B456B0">
        <w:rPr>
          <w:lang w:val="en-PH"/>
        </w:rPr>
        <w:noBreakHyphen/>
        <w:t>510 or 12</w:t>
      </w:r>
      <w:r w:rsidRPr="00B456B0">
        <w:rPr>
          <w:lang w:val="en-PH"/>
        </w:rPr>
        <w:noBreakHyphen/>
        <w:t>6</w:t>
      </w:r>
      <w:r w:rsidRPr="00B456B0">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B456B0">
        <w:rPr>
          <w:strike/>
          <w:lang w:val="en-PH"/>
        </w:rPr>
        <w:t>equal</w:t>
      </w:r>
      <w:r w:rsidRPr="00B456B0">
        <w:rPr>
          <w:lang w:val="en-PH"/>
        </w:rPr>
        <w:t xml:space="preserve"> </w:t>
      </w:r>
      <w:r w:rsidRPr="00B456B0">
        <w:rPr>
          <w:u w:val="single"/>
          <w:lang w:val="en-PH"/>
        </w:rPr>
        <w:t>not</w:t>
      </w:r>
      <w:r w:rsidRPr="00B456B0">
        <w:rPr>
          <w:lang w:val="en-PH"/>
        </w:rPr>
        <w:t xml:space="preserve"> to </w:t>
      </w:r>
      <w:r w:rsidRPr="00B456B0">
        <w:rPr>
          <w:u w:val="single"/>
          <w:lang w:val="en-PH"/>
        </w:rPr>
        <w:t>exceed</w:t>
      </w:r>
      <w:r w:rsidRPr="00B456B0">
        <w:rPr>
          <w:lang w:val="en-PH"/>
        </w:rPr>
        <w:t xml:space="preserve"> the federal housing tax credit allowed with respect to such qualified project</w:t>
      </w:r>
      <w:r w:rsidRPr="00B456B0">
        <w:rPr>
          <w:u w:val="single"/>
          <w:lang w:val="en-PH"/>
        </w:rPr>
        <w:t>, subject to the limitations of item (5)</w:t>
      </w:r>
      <w:r w:rsidRPr="00B456B0">
        <w:rPr>
          <w:lang w:val="en-PH"/>
        </w:rPr>
        <w:t>. In computing a tax payable by a taxpayer pursuant to Section 38</w:t>
      </w:r>
      <w:r w:rsidRPr="00B456B0">
        <w:rPr>
          <w:lang w:val="en-PH"/>
        </w:rPr>
        <w:noBreakHyphen/>
        <w:t>7</w:t>
      </w:r>
      <w:r w:rsidRPr="00B456B0">
        <w:rPr>
          <w:lang w:val="en-PH"/>
        </w:rPr>
        <w:noBreakHyphen/>
        <w:t xml:space="preserve">90, </w:t>
      </w:r>
      <w:r w:rsidRPr="00B456B0">
        <w:rPr>
          <w:lang w:val="en-PH"/>
        </w:rPr>
        <w:lastRenderedPageBreak/>
        <w:t>the credit allowed pursuant to this section must be treated as a premium tax paid pursuant to Section 38</w:t>
      </w:r>
      <w:r w:rsidRPr="00B456B0">
        <w:rPr>
          <w:lang w:val="en-PH"/>
        </w:rPr>
        <w:noBreakHyphen/>
        <w:t>7</w:t>
      </w:r>
      <w:r w:rsidRPr="00B456B0">
        <w:rPr>
          <w:lang w:val="en-PH"/>
        </w:rPr>
        <w:noBreakHyphen/>
        <w:t>20.</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(2)(a)</w:t>
      </w:r>
      <w:r w:rsidRPr="00B456B0">
        <w:rPr>
          <w:lang w:val="en-PH"/>
        </w:rPr>
        <w:tab/>
        <w:t xml:space="preserve">If under Section 42 of the Internal Revenue Code of 1986, as amended, a portion of any federal housing tax credit taken on a project is required to be recaptured, the taxpayer claiming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with respect to such project also is required to recapture a portion of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authorized by this section. The state recapture amount is equal to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claimed by the taxpayer that equals the proportion the federal recapture amount bears to the original federal housing tax credit amount subject to recapture.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lang w:val="en-PH"/>
        </w:rPr>
        <w:tab/>
        <w:t>(b)</w:t>
      </w:r>
      <w:r w:rsidRPr="00B456B0">
        <w:rPr>
          <w:lang w:val="en-PH"/>
        </w:rPr>
        <w:tab/>
        <w:t xml:space="preserve">In the event that recapture of any South Carolina housing tax credit is required, any </w:t>
      </w:r>
      <w:r w:rsidRPr="00B456B0">
        <w:rPr>
          <w:strike/>
          <w:lang w:val="en-PH"/>
        </w:rPr>
        <w:t>amended</w:t>
      </w:r>
      <w:r w:rsidRPr="00B456B0">
        <w:rPr>
          <w:lang w:val="en-PH"/>
        </w:rPr>
        <w:t xml:space="preserve"> return submitted to the Department </w:t>
      </w:r>
      <w:r w:rsidRPr="00B456B0">
        <w:rPr>
          <w:u w:val="single"/>
          <w:lang w:val="en-PH"/>
        </w:rPr>
        <w:t>of Revenue</w:t>
      </w:r>
      <w:r w:rsidRPr="00B456B0">
        <w:rPr>
          <w:lang w:val="en-PH"/>
        </w:rPr>
        <w:t xml:space="preserve">, as provided in this section, shall include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required to be recaptured, the identity of each taxpayer subject to the recapture, and the amount of </w:t>
      </w:r>
      <w:r w:rsidRPr="00B456B0">
        <w:rPr>
          <w:u w:val="single"/>
          <w:lang w:val="en-PH"/>
        </w:rPr>
        <w:t>South Carolina housing</w:t>
      </w:r>
      <w:r w:rsidRPr="00B456B0">
        <w:rPr>
          <w:lang w:val="en-PH"/>
        </w:rPr>
        <w:t xml:space="preserve"> tax credit previously allocated to such taxpayer.  </w:t>
      </w:r>
      <w:r w:rsidRPr="00B456B0">
        <w:rPr>
          <w:u w:val="single"/>
          <w:lang w:val="en-PH"/>
        </w:rPr>
        <w:t>Any recapture of the South Carolina housing tax credit is reported in the same manner as any recapture of the federal housing tax credit.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(3)</w:t>
      </w:r>
      <w:r w:rsidRPr="00B456B0">
        <w:rPr>
          <w:lang w:val="en-PH"/>
        </w:rPr>
        <w:tab/>
        <w:t xml:space="preserve">The total amount of the </w:t>
      </w:r>
      <w:r w:rsidRPr="00B456B0">
        <w:rPr>
          <w:u w:val="single"/>
          <w:lang w:val="en-PH"/>
        </w:rPr>
        <w:t>South Carolina housing</w:t>
      </w:r>
      <w:r w:rsidRPr="00B456B0">
        <w:rPr>
          <w:lang w:val="en-PH"/>
        </w:rPr>
        <w:t xml:space="preserve"> tax credit allowed by this section for a taxable year may not exceed the taxpayer’s income tax liability. Any unused </w:t>
      </w:r>
      <w:r w:rsidRPr="00B456B0">
        <w:rPr>
          <w:u w:val="single"/>
          <w:lang w:val="en-PH"/>
        </w:rPr>
        <w:t>South Carolina housing</w:t>
      </w:r>
      <w:r w:rsidRPr="00B456B0">
        <w:rPr>
          <w:lang w:val="en-PH"/>
        </w:rPr>
        <w:t xml:space="preserve"> tax credit may be carried forward to apply to the taxpayer’s next five succeeding years’ tax liability. The taxpayer may not apply the credit against any prior tax years’ tax liability.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 xml:space="preserve">The </w:t>
      </w:r>
      <w:r w:rsidRPr="00B456B0">
        <w:rPr>
          <w:u w:val="single"/>
          <w:lang w:val="en-PH"/>
        </w:rPr>
        <w:t>South Carolina housing</w:t>
      </w:r>
      <w:r w:rsidRPr="00B456B0">
        <w:rPr>
          <w:lang w:val="en-PH"/>
        </w:rPr>
        <w:t xml:space="preserve"> tax credit </w:t>
      </w:r>
      <w:r w:rsidRPr="00B456B0">
        <w:rPr>
          <w:strike/>
          <w:lang w:val="en-PH"/>
        </w:rPr>
        <w:t>allowed by this section,</w:t>
      </w:r>
      <w:r w:rsidRPr="00B456B0">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(5)(a)</w:t>
      </w:r>
      <w:r w:rsidRPr="00B456B0">
        <w:rPr>
          <w:lang w:val="en-PH"/>
        </w:rPr>
        <w:tab/>
      </w:r>
      <w:r w:rsidRPr="00B456B0">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lang w:val="en-PH"/>
        </w:rPr>
        <w:tab/>
      </w:r>
      <w:r w:rsidRPr="00B456B0">
        <w:rPr>
          <w:lang w:val="en-PH"/>
        </w:rPr>
        <w:tab/>
      </w:r>
      <w:r w:rsidRPr="00B456B0">
        <w:rPr>
          <w:lang w:val="en-PH"/>
        </w:rPr>
        <w:tab/>
      </w:r>
      <w:r w:rsidRPr="00B456B0">
        <w:rPr>
          <w:u w:val="single"/>
          <w:lang w:val="en-PH"/>
        </w:rPr>
        <w:t>(b)</w:t>
      </w:r>
      <w:r w:rsidRPr="00B456B0">
        <w:rPr>
          <w:lang w:val="en-PH"/>
        </w:rPr>
        <w:tab/>
      </w:r>
      <w:r w:rsidRPr="00B456B0">
        <w:rPr>
          <w:u w:val="single"/>
          <w:lang w:val="en-PH"/>
        </w:rPr>
        <w:t xml:space="preserve">The total amount of all South Carolina housing tax credits that may be allocated in any calendar year must not exceed </w:t>
      </w:r>
      <w:r w:rsidR="00E43E33">
        <w:rPr>
          <w:u w:val="single"/>
          <w:lang w:val="en-PH"/>
        </w:rPr>
        <w:t>twenty-five</w:t>
      </w:r>
      <w:r w:rsidRPr="00B456B0">
        <w:rPr>
          <w:u w:val="single"/>
          <w:lang w:val="en-PH"/>
        </w:rPr>
        <w:t xml:space="preserve"> million dollars</w:t>
      </w:r>
      <w:r w:rsidRPr="00B456B0">
        <w:rPr>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lastRenderedPageBreak/>
        <w:tab/>
      </w:r>
      <w:r w:rsidRPr="00B456B0">
        <w:rPr>
          <w:u w:color="000000" w:themeColor="text1"/>
          <w:lang w:val="en-PH"/>
        </w:rPr>
        <w:tab/>
      </w:r>
      <w:r w:rsidRPr="00B456B0">
        <w:rPr>
          <w:u w:color="000000" w:themeColor="text1"/>
          <w:lang w:val="en-PH"/>
        </w:rPr>
        <w:tab/>
      </w:r>
      <w:r w:rsidRPr="00B456B0">
        <w:rPr>
          <w:u w:val="single" w:color="000000" w:themeColor="text1"/>
          <w:lang w:val="en-PH"/>
        </w:rPr>
        <w:t>(c)</w:t>
      </w:r>
      <w:r w:rsidRPr="00B456B0">
        <w:rPr>
          <w:u w:color="000000" w:themeColor="text1"/>
          <w:lang w:val="en-PH"/>
        </w:rPr>
        <w:tab/>
      </w:r>
      <w:r w:rsidRPr="00B456B0">
        <w:rPr>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(d)</w:t>
      </w:r>
      <w:r w:rsidRPr="00B456B0">
        <w:rPr>
          <w:u w:color="000000" w:themeColor="text1"/>
          <w:lang w:val="en-PH"/>
        </w:rPr>
        <w:tab/>
      </w:r>
      <w:r w:rsidRPr="00B456B0">
        <w:rPr>
          <w:u w:val="single" w:color="000000" w:themeColor="text1"/>
          <w:lang w:val="en-PH"/>
        </w:rPr>
        <w:t>Compliance with the dollar limitations of subitems (b) and (c) must be determined by the total amount of South Carolina housing tax credits allocated for one full-year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(e)</w:t>
      </w:r>
      <w:r w:rsidRPr="00B456B0">
        <w:rPr>
          <w:u w:color="000000" w:themeColor="text1"/>
          <w:lang w:val="en-PH"/>
        </w:rPr>
        <w:tab/>
      </w:r>
      <w:r w:rsidRPr="00B456B0">
        <w:rPr>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(C)(1)</w:t>
      </w:r>
      <w:r w:rsidRPr="00B456B0">
        <w:rPr>
          <w:lang w:val="en-PH"/>
        </w:rPr>
        <w:tab/>
        <w:t xml:space="preserve">The </w:t>
      </w:r>
      <w:r w:rsidRPr="00B456B0">
        <w:rPr>
          <w:u w:val="single"/>
          <w:lang w:val="en-PH"/>
        </w:rPr>
        <w:t>state housing</w:t>
      </w:r>
      <w:r w:rsidRPr="00B456B0">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B456B0">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 xml:space="preserve">The </w:t>
      </w:r>
      <w:r w:rsidRPr="00B456B0">
        <w:rPr>
          <w:u w:val="single"/>
          <w:lang w:val="en-PH"/>
        </w:rPr>
        <w:t>state housing</w:t>
      </w:r>
      <w:r w:rsidRPr="00B456B0">
        <w:rPr>
          <w:lang w:val="en-PH"/>
        </w:rPr>
        <w:t xml:space="preserve"> authority may not issue an eligibility statement until the taxpayer provides a report to the </w:t>
      </w:r>
      <w:r w:rsidRPr="00B456B0">
        <w:rPr>
          <w:u w:val="single"/>
          <w:lang w:val="en-PH"/>
        </w:rPr>
        <w:t>state housing</w:t>
      </w:r>
      <w:r w:rsidRPr="00B456B0">
        <w:rPr>
          <w:lang w:val="en-PH"/>
        </w:rPr>
        <w:t xml:space="preserve"> authority detailing how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lastRenderedPageBreak/>
        <w:t>authorized by this section</w:t>
      </w:r>
      <w:r w:rsidRPr="00B456B0">
        <w:rPr>
          <w:lang w:val="en-PH"/>
        </w:rPr>
        <w:t xml:space="preserve"> will benefit the tenants of the project, once placed in service</w:t>
      </w:r>
      <w:r w:rsidRPr="00B456B0">
        <w:rPr>
          <w:u w:val="single"/>
          <w:lang w:val="en-PH"/>
        </w:rPr>
        <w:t>,</w:t>
      </w:r>
      <w:r w:rsidRPr="00B456B0">
        <w:rPr>
          <w:lang w:val="en-PH"/>
        </w:rPr>
        <w:t xml:space="preserve"> </w:t>
      </w:r>
      <w:r w:rsidRPr="00B456B0">
        <w:rPr>
          <w:strike/>
          <w:lang w:val="en-PH"/>
        </w:rPr>
        <w:t>including, but not limited to,</w:t>
      </w:r>
      <w:r w:rsidRPr="00B456B0">
        <w:rPr>
          <w:lang w:val="en-PH"/>
        </w:rPr>
        <w:t xml:space="preserve"> </w:t>
      </w:r>
      <w:r w:rsidRPr="00B456B0">
        <w:rPr>
          <w:u w:val="single"/>
          <w:lang w:val="en-PH"/>
        </w:rPr>
        <w:t>including without limitation</w:t>
      </w:r>
      <w:r w:rsidRPr="00B456B0">
        <w:rPr>
          <w:lang w:val="en-PH"/>
        </w:rPr>
        <w:t xml:space="preserve"> reduced rent, </w:t>
      </w:r>
      <w:r w:rsidRPr="00B456B0">
        <w:rPr>
          <w:strike/>
          <w:lang w:val="en-PH"/>
        </w:rPr>
        <w:t>or</w:t>
      </w:r>
      <w:r w:rsidRPr="00B456B0">
        <w:rPr>
          <w:lang w:val="en-PH"/>
        </w:rPr>
        <w:t xml:space="preserve"> </w:t>
      </w:r>
      <w:r w:rsidRPr="00B456B0">
        <w:rPr>
          <w:u w:val="single"/>
          <w:lang w:val="en-PH"/>
        </w:rPr>
        <w:t>and</w:t>
      </w:r>
      <w:r w:rsidRPr="00B456B0">
        <w:rPr>
          <w:lang w:val="en-PH"/>
        </w:rPr>
        <w:t xml:space="preserve"> why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t>authorized by this section</w:t>
      </w:r>
      <w:r w:rsidRPr="00B456B0">
        <w:rPr>
          <w:lang w:val="en-PH"/>
        </w:rPr>
        <w:t xml:space="preserve"> is </w:t>
      </w:r>
      <w:r w:rsidRPr="00B456B0">
        <w:rPr>
          <w:strike/>
          <w:lang w:val="en-PH"/>
        </w:rPr>
        <w:t>necessary to undertake</w:t>
      </w:r>
      <w:r w:rsidRPr="00B456B0">
        <w:rPr>
          <w:lang w:val="en-PH"/>
        </w:rPr>
        <w:t xml:space="preserve"> </w:t>
      </w:r>
      <w:r w:rsidRPr="00B456B0">
        <w:rPr>
          <w:u w:val="single"/>
          <w:lang w:val="en-PH"/>
        </w:rPr>
        <w:t>essential to the financial feasibility of</w:t>
      </w:r>
      <w:r w:rsidRPr="00B456B0">
        <w:rPr>
          <w:lang w:val="en-PH"/>
        </w:rPr>
        <w:t xml:space="preserve">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(3)</w:t>
      </w:r>
      <w:r w:rsidRPr="00B456B0">
        <w:rPr>
          <w:lang w:val="en-PH"/>
        </w:rPr>
        <w:tab/>
      </w:r>
      <w:r w:rsidRPr="00B456B0">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(4)</w:t>
      </w:r>
      <w:r w:rsidRPr="00B456B0">
        <w:rPr>
          <w:lang w:val="en-PH"/>
        </w:rPr>
        <w:tab/>
      </w:r>
      <w:r w:rsidRPr="00B456B0">
        <w:rPr>
          <w:u w:val="single"/>
          <w:lang w:val="en-PH"/>
        </w:rPr>
        <w:t>The state housing authority must furnish no later than January thirty</w:t>
      </w:r>
      <w:r w:rsidRPr="00B456B0">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(D)</w:t>
      </w:r>
      <w:r w:rsidRPr="00B456B0">
        <w:rPr>
          <w:lang w:val="en-PH"/>
        </w:rPr>
        <w:tab/>
        <w:t xml:space="preserve">The Department </w:t>
      </w:r>
      <w:r w:rsidRPr="00B456B0">
        <w:rPr>
          <w:u w:val="single"/>
          <w:lang w:val="en-PH"/>
        </w:rPr>
        <w:t>of Revenue</w:t>
      </w:r>
      <w:r w:rsidRPr="00B456B0">
        <w:rPr>
          <w:lang w:val="en-PH"/>
        </w:rPr>
        <w:t xml:space="preserve">, in consultation with the </w:t>
      </w:r>
      <w:r w:rsidRPr="00B456B0">
        <w:rPr>
          <w:strike/>
          <w:lang w:val="en-PH"/>
        </w:rPr>
        <w:t>South Carolina State Housing Finance and Development Authority</w:t>
      </w:r>
      <w:r w:rsidRPr="00B456B0">
        <w:rPr>
          <w:lang w:val="en-PH"/>
        </w:rPr>
        <w:t xml:space="preserve"> </w:t>
      </w:r>
      <w:r w:rsidRPr="00B456B0">
        <w:rPr>
          <w:u w:val="single"/>
          <w:lang w:val="en-PH"/>
        </w:rPr>
        <w:t>state housing authority</w:t>
      </w:r>
      <w:r w:rsidRPr="00B456B0">
        <w:rPr>
          <w:lang w:val="en-PH"/>
        </w:rPr>
        <w:t>, may adopt rules and policies necessary to implement and administer the provisions of this section</w:t>
      </w:r>
      <w:r w:rsidRPr="00B456B0">
        <w:rPr>
          <w:u w:val="single"/>
          <w:lang w:val="en-PH"/>
        </w:rPr>
        <w:t>; provided, however, that the state housing authority has the responsibility for: (i) allocation and administration of the South Carolina housing tax credit; and (ii) ensuring that the limits prescribed by subsection  (B)(5)(b) and (B)(5)(c) are not exceeded</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(E)</w:t>
      </w:r>
      <w:r w:rsidRPr="00B456B0">
        <w:rPr>
          <w:lang w:val="en-PH"/>
        </w:rPr>
        <w:tab/>
      </w:r>
      <w:r w:rsidRPr="00B456B0">
        <w:rPr>
          <w:u w:val="single"/>
          <w:lang w:val="en-PH"/>
        </w:rPr>
        <w:t>Notwithstanding any other provision of law, the provisions of this section and administration thereof are subject to the oversight, and review and comment as appropriate, of the Joint Bond Review Committee.</w:t>
      </w:r>
      <w:r w:rsidRPr="00B456B0">
        <w:rPr>
          <w:lang w:val="en-PH"/>
        </w:rPr>
        <w:t>”</w:t>
      </w:r>
    </w:p>
    <w:p w:rsidR="00D80C81" w:rsidRPr="00B456B0" w:rsidRDefault="00D80C81" w:rsidP="006A47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sidRPr="00B456B0">
        <w:rPr>
          <w:lang w:val="en-PH"/>
        </w:rPr>
        <w:t>B.</w:t>
      </w:r>
      <w:r w:rsidRPr="00B456B0">
        <w:rPr>
          <w:lang w:val="en-PH"/>
        </w:rPr>
        <w:tab/>
        <w:t>1.</w:t>
      </w:r>
      <w:r w:rsidRPr="00B456B0">
        <w:rPr>
          <w:lang w:val="en-PH"/>
        </w:rPr>
        <w:tab/>
        <w:t>Notwithstanding the limitations prescribed by Section 12</w:t>
      </w:r>
      <w:r w:rsidRPr="00B456B0">
        <w:rPr>
          <w:lang w:val="en-PH"/>
        </w:rPr>
        <w:noBreakHyphen/>
        <w:t>6</w:t>
      </w:r>
      <w:r w:rsidRPr="00B456B0">
        <w:rPr>
          <w:lang w:val="en-PH"/>
        </w:rPr>
        <w:noBreakHyphen/>
        <w:t>3795(B)(5)(b), (c), and (d) in SECTION 1.</w:t>
      </w:r>
      <w:r w:rsidR="003A5170">
        <w:rPr>
          <w:lang w:val="en-PH"/>
        </w:rPr>
        <w:t xml:space="preserve"> </w:t>
      </w:r>
      <w:r w:rsidRPr="00B456B0">
        <w:rPr>
          <w:lang w:val="en-PH"/>
        </w:rPr>
        <w:t>A., the General Assembly hereby provides a one</w:t>
      </w:r>
      <w:r w:rsidRPr="00B456B0">
        <w:rPr>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B456B0">
        <w:rPr>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B456B0">
        <w:rPr>
          <w:lang w:val="en-PH"/>
        </w:rPr>
        <w:noBreakHyphen/>
        <w:t>time authorization of South Carolina housing tax credits. Decisions made pursuant to this provision are final and are not subject to judicial or administrative review.</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t>This S</w:t>
      </w:r>
      <w:r w:rsidRPr="00B456B0">
        <w:rPr>
          <w:lang w:val="en-PH"/>
        </w:rPr>
        <w:t>ub</w:t>
      </w:r>
      <w:r>
        <w:rPr>
          <w:lang w:val="en-PH"/>
        </w:rPr>
        <w:t>section</w:t>
      </w:r>
      <w:r w:rsidRPr="00B456B0">
        <w:rPr>
          <w:lang w:val="en-PH"/>
        </w:rPr>
        <w:t xml:space="preserve"> B takes effect upon approval by the Governor.</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503CE"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C.</w:t>
      </w:r>
      <w:r w:rsidRPr="00B456B0">
        <w:rPr>
          <w:lang w:val="en-PH"/>
        </w:rPr>
        <w:tab/>
        <w:t>This S</w:t>
      </w:r>
      <w:r>
        <w:rPr>
          <w:lang w:val="en-PH"/>
        </w:rPr>
        <w:t>ection</w:t>
      </w:r>
      <w:r w:rsidRPr="00B456B0">
        <w:rPr>
          <w:lang w:val="en-PH"/>
        </w:rPr>
        <w:t xml:space="preserve"> takes effect upon approval by the Governor and first applies to tax years beginning after 2021.</w:t>
      </w:r>
    </w:p>
    <w:p w:rsidR="00D80C81" w:rsidRPr="00251A46" w:rsidRDefault="00D80C81"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t>SECTION</w:t>
      </w:r>
      <w:r w:rsidRPr="00251A46">
        <w:rPr>
          <w:lang w:val="en-PH"/>
        </w:rPr>
        <w:tab/>
        <w:t>2.</w:t>
      </w:r>
      <w:r w:rsidRPr="00251A46">
        <w:rPr>
          <w:lang w:val="en-PH"/>
        </w:rPr>
        <w:tab/>
        <w:t>Article 3, Chapter 11, Title 1, of the 1976 Code is amended to read:</w:t>
      </w:r>
    </w:p>
    <w:p w:rsidR="00F406EB" w:rsidRPr="00251A46" w:rsidRDefault="00F406EB"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9D6118" w:rsidRPr="00251A46" w:rsidRDefault="009D6118" w:rsidP="0071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w:t>
      </w:r>
      <w:r w:rsidR="00710699" w:rsidRPr="00251A46">
        <w:rPr>
          <w:lang w:val="en-PH"/>
        </w:rPr>
        <w:t xml:space="preserve"> </w:t>
      </w:r>
      <w:r w:rsidR="00A442D4" w:rsidRPr="00251A46">
        <w:rPr>
          <w:u w:val="single"/>
          <w:lang w:val="en-PH"/>
        </w:rPr>
        <w:t xml:space="preserve">Secretary </w:t>
      </w:r>
      <w:r w:rsidR="00710699" w:rsidRPr="00251A46">
        <w:rPr>
          <w:u w:val="single"/>
          <w:lang w:val="en-PH"/>
        </w:rPr>
        <w:t>of the</w:t>
      </w:r>
      <w:r w:rsidRPr="00251A46">
        <w:rPr>
          <w:lang w:val="en-PH"/>
        </w:rPr>
        <w:t xml:space="preserve"> State Fiscal Accountability Authority </w:t>
      </w:r>
      <w:r w:rsidRPr="00251A46">
        <w:rPr>
          <w:strike/>
          <w:lang w:val="en-PH"/>
        </w:rPr>
        <w:t>secretary</w:t>
      </w:r>
      <w:r w:rsidRPr="00251A46">
        <w:rPr>
          <w:lang w:val="en-PH"/>
        </w:rPr>
        <w:t xml:space="preserve"> </w:t>
      </w:r>
      <w:r w:rsidR="004503CE" w:rsidRPr="00251A46">
        <w:rPr>
          <w:u w:val="single"/>
          <w:lang w:val="en-PH"/>
        </w:rPr>
        <w:t>(</w:t>
      </w:r>
      <w:r w:rsidR="00CF7C64" w:rsidRPr="00251A46">
        <w:rPr>
          <w:u w:val="single"/>
          <w:lang w:val="en-PH"/>
        </w:rPr>
        <w:t>the state</w:t>
      </w:r>
      <w:r w:rsidR="004503CE" w:rsidRPr="00251A46">
        <w:rPr>
          <w:u w:val="single"/>
          <w:lang w:val="en-PH"/>
        </w:rPr>
        <w:t xml:space="preserve"> authority)</w:t>
      </w:r>
      <w:r w:rsidR="004503CE" w:rsidRPr="00251A46">
        <w:rPr>
          <w:lang w:val="en-PH"/>
        </w:rPr>
        <w:t xml:space="preserve"> </w:t>
      </w:r>
      <w:r w:rsidRPr="00251A46">
        <w:rPr>
          <w:lang w:val="en-PH"/>
        </w:rPr>
        <w:t xml:space="preserve">based upon the provisions </w:t>
      </w:r>
      <w:r w:rsidRPr="00251A46">
        <w:rPr>
          <w:lang w:val="en-PH"/>
        </w:rPr>
        <w:lastRenderedPageBreak/>
        <w:t xml:space="preserve">of the act. The </w:t>
      </w:r>
      <w:r w:rsidRPr="00251A46">
        <w:rPr>
          <w:strike/>
          <w:lang w:val="en-PH"/>
        </w:rPr>
        <w:t>board</w:t>
      </w:r>
      <w:r w:rsidRPr="00251A46">
        <w:rPr>
          <w:lang w:val="en-PH"/>
        </w:rPr>
        <w:t xml:space="preserve"> secretary</w:t>
      </w:r>
      <w:r w:rsidR="00710699" w:rsidRPr="00251A46">
        <w:rPr>
          <w:lang w:val="en-PH"/>
        </w:rPr>
        <w:t xml:space="preserve"> </w:t>
      </w:r>
      <w:r w:rsidR="00710699"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00710699" w:rsidRPr="00251A46">
        <w:rPr>
          <w:u w:val="single"/>
          <w:lang w:val="en-PH"/>
        </w:rPr>
        <w:t>state authority</w:t>
      </w:r>
      <w:r w:rsidR="00710699" w:rsidRPr="00251A46">
        <w:rPr>
          <w:lang w:val="en-PH"/>
        </w:rPr>
        <w:t xml:space="preserve"> </w:t>
      </w:r>
      <w:r w:rsidRPr="00251A46">
        <w:rPr>
          <w:lang w:val="en-PH"/>
        </w:rPr>
        <w:t>in response to authorized requests as described in Section 1</w:t>
      </w:r>
      <w:r w:rsidR="007E75B1">
        <w:rPr>
          <w:lang w:val="en-PH"/>
        </w:rPr>
        <w:noBreakHyphen/>
      </w:r>
      <w:r w:rsidRPr="00251A46">
        <w:rPr>
          <w:lang w:val="en-PH"/>
        </w:rPr>
        <w:t>11</w:t>
      </w:r>
      <w:r w:rsidR="007E75B1">
        <w:rPr>
          <w:lang w:val="en-PH"/>
        </w:rPr>
        <w:noBreakHyphen/>
      </w:r>
      <w:r w:rsidRPr="00251A46">
        <w:rPr>
          <w:lang w:val="en-PH"/>
        </w:rPr>
        <w:t>530 by the issuing authorities</w:t>
      </w:r>
      <w:r w:rsidR="00710699" w:rsidRPr="00251A46">
        <w:rPr>
          <w:u w:val="single"/>
          <w:lang w:val="en-PH"/>
        </w:rPr>
        <w:t>, or as otherwise provided in Section 1</w:t>
      </w:r>
      <w:r w:rsidR="007E75B1">
        <w:rPr>
          <w:u w:val="single"/>
          <w:lang w:val="en-PH"/>
        </w:rPr>
        <w:noBreakHyphen/>
      </w:r>
      <w:r w:rsidR="00710699" w:rsidRPr="00251A46">
        <w:rPr>
          <w:u w:val="single"/>
          <w:lang w:val="en-PH"/>
        </w:rPr>
        <w:t>11</w:t>
      </w:r>
      <w:r w:rsidR="007E75B1">
        <w:rPr>
          <w:u w:val="single"/>
          <w:lang w:val="en-PH"/>
        </w:rPr>
        <w:noBreakHyphen/>
      </w:r>
      <w:r w:rsidR="00710699" w:rsidRPr="00251A46">
        <w:rPr>
          <w:u w:val="single"/>
          <w:lang w:val="en-PH"/>
        </w:rPr>
        <w:t>520(G)</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sidR="007E75B1">
        <w:rPr>
          <w:strike/>
          <w:lang w:val="en-PH"/>
        </w:rPr>
        <w:noBreakHyphen/>
      </w:r>
      <w:r w:rsidRPr="00251A46">
        <w:rPr>
          <w:strike/>
          <w:lang w:val="en-PH"/>
        </w:rPr>
        <w:t>11</w:t>
      </w:r>
      <w:r w:rsidR="007E75B1">
        <w:rPr>
          <w:strike/>
          <w:lang w:val="en-PH"/>
        </w:rPr>
        <w:noBreakHyphen/>
      </w:r>
      <w:r w:rsidRPr="00251A46">
        <w:rPr>
          <w:strike/>
          <w:lang w:val="en-PH"/>
        </w:rPr>
        <w:t>540, all allocations must be made by the board on a first</w:t>
      </w:r>
      <w:r w:rsidR="007E75B1">
        <w:rPr>
          <w:strike/>
          <w:lang w:val="en-PH"/>
        </w:rPr>
        <w:noBreakHyphen/>
      </w:r>
      <w:r w:rsidRPr="00251A46">
        <w:rPr>
          <w:strike/>
          <w:lang w:val="en-PH"/>
        </w:rPr>
        <w:t>come, first</w:t>
      </w:r>
      <w:r w:rsidR="007E75B1">
        <w:rPr>
          <w:strike/>
          <w:lang w:val="en-PH"/>
        </w:rPr>
        <w:noBreakHyphen/>
      </w:r>
      <w:r w:rsidRPr="00251A46">
        <w:rPr>
          <w:strike/>
          <w:lang w:val="en-PH"/>
        </w:rPr>
        <w:t>served basis, to be determined by the date and time sequence in which complete authorized requests are received by the board secretary</w:t>
      </w:r>
      <w:r w:rsidR="00710699" w:rsidRPr="00251A46">
        <w:rPr>
          <w:lang w:val="en-PH"/>
        </w:rPr>
        <w:t xml:space="preserve"> </w:t>
      </w:r>
      <w:r w:rsidR="00710699" w:rsidRPr="00251A46">
        <w:rPr>
          <w:u w:val="single"/>
          <w:lang w:val="en-PH"/>
        </w:rPr>
        <w:t xml:space="preserve">Nothing in this article or the State Ceiling Allocation Plan adopted pursuant to this article grants any rights to, or in the processes used in the allocation or disposition of, state ceiling. Decisions </w:t>
      </w:r>
      <w:r w:rsidR="004503CE" w:rsidRPr="00251A46">
        <w:rPr>
          <w:u w:val="single"/>
          <w:lang w:val="en-PH"/>
        </w:rPr>
        <w:t xml:space="preserve">made </w:t>
      </w:r>
      <w:r w:rsidR="00710699" w:rsidRPr="00251A46">
        <w:rPr>
          <w:u w:val="single"/>
          <w:lang w:val="en-PH"/>
        </w:rPr>
        <w:t>pursuant to this article are final and are not subject to judicial or administrative review</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Section 1</w:t>
      </w:r>
      <w:r w:rsidRPr="00B456B0">
        <w:rPr>
          <w:lang w:val="en-PH"/>
        </w:rPr>
        <w:noBreakHyphen/>
        <w:t>11</w:t>
      </w:r>
      <w:r w:rsidRPr="00B456B0">
        <w:rPr>
          <w:lang w:val="en-PH"/>
        </w:rPr>
        <w:noBreakHyphen/>
        <w:t>520.</w:t>
      </w:r>
      <w:r w:rsidRPr="00B456B0">
        <w:rPr>
          <w:lang w:val="en-PH"/>
        </w:rPr>
        <w:tab/>
        <w:t>(A)</w:t>
      </w:r>
      <w:r w:rsidRPr="00B456B0">
        <w:rPr>
          <w:lang w:val="en-PH"/>
        </w:rPr>
        <w:tab/>
      </w:r>
      <w:r w:rsidRPr="00B456B0">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B456B0">
        <w:rPr>
          <w:lang w:val="en-PH"/>
        </w:rPr>
        <w:t xml:space="preserve"> </w:t>
      </w:r>
      <w:r w:rsidRPr="00B456B0">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t>(B)</w:t>
      </w:r>
      <w:r w:rsidRPr="00B456B0">
        <w:rPr>
          <w:lang w:val="en-PH"/>
        </w:rPr>
        <w:tab/>
      </w:r>
      <w:r w:rsidRPr="00B456B0">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B456B0">
        <w:rPr>
          <w:lang w:val="en-PH"/>
        </w:rPr>
        <w:t xml:space="preserve"> </w:t>
      </w:r>
      <w:r w:rsidRPr="00B456B0">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r>
      <w:r w:rsidRPr="00B456B0">
        <w:rPr>
          <w:strike/>
          <w:lang w:val="en-PH"/>
        </w:rPr>
        <w:t>The board, with review and comment by the Joint Bond Review Committee, may shift unallocated amounts from one pool to the other at any time</w:t>
      </w:r>
      <w:r w:rsidRPr="00B456B0">
        <w:rPr>
          <w:lang w:val="en-PH"/>
        </w:rPr>
        <w:t xml:space="preserve"> </w:t>
      </w:r>
      <w:r w:rsidRPr="00B456B0">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B456B0">
        <w:rPr>
          <w:u w:val="single"/>
          <w:lang w:val="en-PH"/>
        </w:rPr>
        <w:noBreakHyphen/>
        <w:t>assignment may be made for any allocation category, notwithstanding its original assignment</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(E)</w:t>
      </w:r>
      <w:r w:rsidRPr="00B456B0">
        <w:rPr>
          <w:lang w:val="en-PH"/>
        </w:rPr>
        <w:tab/>
      </w:r>
      <w:r w:rsidRPr="00B456B0">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(F)</w:t>
      </w:r>
      <w:r w:rsidRPr="00B456B0">
        <w:rPr>
          <w:lang w:val="en-PH"/>
        </w:rPr>
        <w:tab/>
      </w:r>
      <w:r w:rsidRPr="00B456B0">
        <w:rPr>
          <w:u w:val="single"/>
          <w:lang w:val="en-PH"/>
        </w:rPr>
        <w:t xml:space="preserve"> Allocations of state ceiling to authorized requests must be made in accordance with the provisions of the allocation plan and policies and procedures adopted by the state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(G)</w:t>
      </w:r>
      <w:r w:rsidRPr="00B456B0">
        <w:rPr>
          <w:lang w:val="en-PH"/>
        </w:rPr>
        <w:tab/>
      </w:r>
      <w:r w:rsidRPr="00B456B0">
        <w:rPr>
          <w:u w:val="single"/>
          <w:lang w:val="en-PH"/>
        </w:rPr>
        <w:t>The state authority must determine the disposition of any remaining, unused state ceiling during the final period of the calendar year pursuant to a petition submitted in accordance with Section 1-11-530(D).</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Section 1</w:t>
      </w:r>
      <w:r w:rsidRPr="00B456B0">
        <w:rPr>
          <w:lang w:val="en-PH"/>
        </w:rPr>
        <w:noBreakHyphen/>
        <w:t>11</w:t>
      </w:r>
      <w:r w:rsidRPr="00B456B0">
        <w:rPr>
          <w:lang w:val="en-PH"/>
        </w:rPr>
        <w:noBreakHyphen/>
        <w:t>530.</w:t>
      </w:r>
      <w:r w:rsidRPr="00B456B0">
        <w:rPr>
          <w:lang w:val="en-PH"/>
        </w:rPr>
        <w:tab/>
        <w:t>(A)</w:t>
      </w:r>
      <w:r w:rsidRPr="00B456B0">
        <w:rPr>
          <w:lang w:val="en-PH"/>
        </w:rPr>
        <w:tab/>
        <w:t xml:space="preserve">For private activity bonds proposed for issue by other than state government issuing authorities,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copy of the Inducement Contract, Inducement Resolution, or other comparable preliminary approval entered into or adopted by the issuing authority, if any, relating to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w:t>
      </w:r>
      <w:r w:rsidRPr="00B456B0">
        <w:rPr>
          <w:lang w:val="en-PH"/>
        </w:rPr>
        <w:tab/>
        <w:t xml:space="preserve">For private activity bonds proposed for issue by any state government issuing authority,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bond resolution or comparable action by the issuing authority authorizing the issuance of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An issuing authority seeking an allocation of any remaining unused state ceiling for carry</w:t>
      </w:r>
      <w:r w:rsidRPr="00B456B0">
        <w:rPr>
          <w:u w:val="single"/>
          <w:lang w:val="en-PH"/>
        </w:rPr>
        <w:noBreakHyphen/>
        <w:t>forward designation must submit to the state authority a petition identifying the types of tax</w:t>
      </w:r>
      <w:r w:rsidRPr="00B456B0">
        <w:rPr>
          <w:u w:val="single"/>
          <w:lang w:val="en-PH"/>
        </w:rPr>
        <w:noBreakHyphen/>
        <w:t>exempt bonds to which the carryforward designation will apply. The petition must be accompanied by such other supporting documentation as the state authority may by policy prescribe.  Such allocations are not subjected to the provisions of Section 1-11-520(D), (E), and (F).</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(E)</w:t>
      </w:r>
      <w:r w:rsidRPr="00B456B0">
        <w:rPr>
          <w:lang w:val="en-PH"/>
        </w:rPr>
        <w:tab/>
      </w:r>
      <w:r w:rsidRPr="00B456B0">
        <w:rPr>
          <w:u w:val="single"/>
          <w:lang w:val="en-PH"/>
        </w:rPr>
        <w:t>Notwithstanding any other provision of this article, the state authority may disapprove, reduce, or defer any authorized request or petition for carry-forward.</w:t>
      </w:r>
    </w:p>
    <w:p w:rsidR="00C54D4B" w:rsidRPr="00251A46"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(F)</w:t>
      </w:r>
      <w:r w:rsidRPr="00B456B0">
        <w:rPr>
          <w:lang w:val="en-PH"/>
        </w:rPr>
        <w:tab/>
      </w:r>
      <w:r w:rsidRPr="00B456B0">
        <w:rPr>
          <w:u w:val="single"/>
          <w:lang w:val="en-PH"/>
        </w:rPr>
        <w:t>The state authority must periodically furnish to the Joint Bond Review Committee a report of petitions received, along with their dispositions.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540.</w:t>
      </w:r>
      <w:r w:rsidRPr="00251A46">
        <w:rPr>
          <w:lang w:val="en-PH"/>
        </w:rPr>
        <w:tab/>
      </w:r>
      <w:r w:rsidRPr="00251A46">
        <w:rPr>
          <w:strike/>
          <w:lang w:val="en-PH"/>
        </w:rPr>
        <w:t>(A)</w:t>
      </w:r>
      <w:r w:rsidR="0000228C"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9D6118" w:rsidRPr="00251A46">
        <w:rPr>
          <w:strike/>
          <w:lang w:val="en-PH"/>
        </w:rPr>
        <w:t>(B)</w:t>
      </w:r>
      <w:r w:rsidRPr="00251A46">
        <w:rPr>
          <w:lang w:val="en-PH"/>
        </w:rPr>
        <w:tab/>
      </w:r>
      <w:r w:rsidR="009D6118"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00C54D4B" w:rsidRPr="00251A46">
        <w:rPr>
          <w:lang w:val="en-PH"/>
        </w:rPr>
        <w:t xml:space="preserve"> </w:t>
      </w:r>
      <w:r w:rsidR="00C54D4B" w:rsidRPr="00251A46">
        <w:rPr>
          <w:u w:val="single"/>
          <w:lang w:val="en-PH"/>
        </w:rPr>
        <w:t>Reserved</w:t>
      </w:r>
      <w:r w:rsidR="009D6118"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251A46">
        <w:rPr>
          <w:lang w:val="en-PH"/>
        </w:rPr>
        <w:lastRenderedPageBreak/>
        <w:t xml:space="preserve">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sidR="007E75B1">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w:t>
      </w:r>
      <w:r w:rsidR="00C54D4B" w:rsidRPr="00251A46">
        <w:rPr>
          <w:lang w:val="en-PH"/>
        </w:rPr>
        <w:t xml:space="preserve"> </w:t>
      </w:r>
      <w:r w:rsidR="00C54D4B" w:rsidRPr="00251A46">
        <w:rPr>
          <w:u w:val="single"/>
          <w:lang w:val="en-PH"/>
        </w:rPr>
        <w:t>approved</w:t>
      </w:r>
      <w:r w:rsidR="00C54D4B" w:rsidRPr="00251A46">
        <w:rPr>
          <w:lang w:val="en-PH"/>
        </w:rPr>
        <w:t xml:space="preserve"> </w:t>
      </w:r>
      <w:r w:rsidRPr="00251A46">
        <w:rPr>
          <w:lang w:val="en-PH"/>
        </w:rPr>
        <w:t xml:space="preserve">by the </w:t>
      </w:r>
      <w:r w:rsidRPr="00251A46">
        <w:rPr>
          <w:strike/>
          <w:lang w:val="en-PH"/>
        </w:rPr>
        <w:t>board</w:t>
      </w:r>
      <w:r w:rsidR="00C54D4B" w:rsidRPr="00251A46">
        <w:rPr>
          <w:lang w:val="en-PH"/>
        </w:rPr>
        <w:t xml:space="preserve"> </w:t>
      </w:r>
      <w:r w:rsidR="00C54D4B" w:rsidRPr="00251A46">
        <w:rPr>
          <w:u w:val="single"/>
          <w:lang w:val="en-PH"/>
        </w:rPr>
        <w:t>state authority</w:t>
      </w:r>
      <w:r w:rsidRPr="00251A46">
        <w:rPr>
          <w:lang w:val="en-PH"/>
        </w:rPr>
        <w:t xml:space="preserve"> on a tentative basis, if the secretary</w:t>
      </w:r>
      <w:r w:rsidR="00C54D4B" w:rsidRPr="00251A46">
        <w:rPr>
          <w:lang w:val="en-PH"/>
        </w:rPr>
        <w:t xml:space="preserve"> </w:t>
      </w:r>
      <w:r w:rsidR="00C54D4B" w:rsidRPr="00251A46">
        <w:rPr>
          <w:u w:val="single"/>
          <w:lang w:val="en-PH"/>
        </w:rPr>
        <w:t>of the state authority</w:t>
      </w:r>
      <w:r w:rsidRPr="00251A46">
        <w:rPr>
          <w:lang w:val="en-PH"/>
        </w:rPr>
        <w:t xml:space="preserve"> determines that: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sidR="007E75B1">
        <w:rPr>
          <w:lang w:val="en-PH"/>
        </w:rPr>
        <w:t>’</w:t>
      </w:r>
      <w:r w:rsidRPr="00251A46">
        <w:rPr>
          <w:lang w:val="en-PH"/>
        </w:rPr>
        <w:t>s issue amount certificate specifies an amount not in excess of the approved tentative ceiling allocation amount;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the issue amount certificate was received prior to the issue date projected and that the certificate is dated not more than ten days prior to the issue date projected;</w:t>
      </w:r>
      <w:r w:rsidR="00C54D4B" w:rsidRPr="00251A46">
        <w:rPr>
          <w:lang w:val="en-PH"/>
        </w:rPr>
        <w:t xml:space="preserve"> </w:t>
      </w:r>
      <w:r w:rsidR="00C54D4B"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w:t>
      </w:r>
      <w:r w:rsidR="00C54D4B" w:rsidRPr="00251A46">
        <w:rPr>
          <w:lang w:val="en-PH"/>
        </w:rPr>
        <w:t xml:space="preserve"> </w:t>
      </w:r>
      <w:r w:rsidR="00C54D4B"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by issuing authorities do not exceed the state ceiling for the calendar year. Except under extraordinary circumstances,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In accordance with Section 149(e)(2)(F) of the</w:t>
      </w:r>
      <w:r w:rsidR="00C54D4B" w:rsidRPr="00251A46">
        <w:rPr>
          <w:lang w:val="en-PH"/>
        </w:rPr>
        <w:t xml:space="preserve"> </w:t>
      </w:r>
      <w:r w:rsidR="00C54D4B"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00C54D4B" w:rsidRPr="00251A46">
        <w:rPr>
          <w:lang w:val="en-PH"/>
        </w:rPr>
        <w:t xml:space="preserve"> </w:t>
      </w:r>
      <w:r w:rsidR="00044ED6"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w:t>
      </w:r>
      <w:r w:rsidR="00044ED6" w:rsidRPr="00251A46">
        <w:rPr>
          <w:lang w:val="en-PH"/>
        </w:rPr>
        <w:t xml:space="preserve"> </w:t>
      </w:r>
      <w:r w:rsidR="00044ED6" w:rsidRPr="00251A46">
        <w:rPr>
          <w:u w:val="single"/>
          <w:lang w:val="en-PH"/>
        </w:rPr>
        <w:t>Internal Revenue</w:t>
      </w:r>
      <w:r w:rsidRPr="00251A46">
        <w:rPr>
          <w:lang w:val="en-PH"/>
        </w:rPr>
        <w:t xml:space="preserve"> Code relating to the volume cap on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00044ED6" w:rsidRPr="00251A46">
        <w:rPr>
          <w:u w:val="single"/>
          <w:lang w:val="en-PH"/>
        </w:rPr>
        <w:t>state authority</w:t>
      </w:r>
      <w:r w:rsidR="00044ED6" w:rsidRPr="00251A46">
        <w:rPr>
          <w:lang w:val="en-PH"/>
        </w:rPr>
        <w:t xml:space="preserve"> </w:t>
      </w:r>
      <w:r w:rsidRPr="00251A46">
        <w:rPr>
          <w:lang w:val="en-PH"/>
        </w:rPr>
        <w:t>before the effective date of this act remains valid as an allocation of a portion of the volume cap for South Carolina provided under Section 146 of the</w:t>
      </w:r>
      <w:r w:rsidR="00044ED6" w:rsidRPr="00251A46">
        <w:rPr>
          <w:lang w:val="en-PH"/>
        </w:rPr>
        <w:t xml:space="preserve"> </w:t>
      </w:r>
      <w:r w:rsidR="00044ED6"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00044ED6" w:rsidRPr="00251A46">
        <w:rPr>
          <w:u w:val="single"/>
          <w:lang w:val="en-PH"/>
        </w:rPr>
        <w:t>law</w:t>
      </w:r>
      <w:r w:rsidR="00044ED6" w:rsidRPr="00251A46">
        <w:rPr>
          <w:lang w:val="en-PH"/>
        </w:rPr>
        <w:t xml:space="preserve"> </w:t>
      </w:r>
      <w:r w:rsidRPr="00251A46">
        <w:rPr>
          <w:lang w:val="en-PH"/>
        </w:rPr>
        <w:t xml:space="preserve">under which they were granted or extended and their validity may be </w:t>
      </w:r>
      <w:r w:rsidRPr="00251A46">
        <w:rPr>
          <w:lang w:val="en-PH"/>
        </w:rPr>
        <w:lastRenderedPageBreak/>
        <w:t>extended or reinstated in accordance w</w:t>
      </w:r>
      <w:r w:rsidR="004503CE" w:rsidRPr="00251A46">
        <w:rPr>
          <w:lang w:val="en-PH"/>
        </w:rPr>
        <w:t xml:space="preserve">ith the provisions of Sections </w:t>
      </w:r>
      <w:r w:rsidRPr="00251A46">
        <w:rPr>
          <w:lang w:val="en-PH"/>
        </w:rPr>
        <w:t>1</w:t>
      </w:r>
      <w:r w:rsidR="007E75B1">
        <w:rPr>
          <w:lang w:val="en-PH"/>
        </w:rPr>
        <w:noBreakHyphen/>
      </w:r>
      <w:r w:rsidRPr="00251A46">
        <w:rPr>
          <w:lang w:val="en-PH"/>
        </w:rPr>
        <w:t>11</w:t>
      </w:r>
      <w:r w:rsidR="007E75B1">
        <w:rPr>
          <w:lang w:val="en-PH"/>
        </w:rPr>
        <w:noBreakHyphen/>
      </w:r>
      <w:r w:rsidRPr="00251A46">
        <w:rPr>
          <w:lang w:val="en-PH"/>
        </w:rPr>
        <w:t>500 through 1</w:t>
      </w:r>
      <w:r w:rsidR="007E75B1">
        <w:rPr>
          <w:lang w:val="en-PH"/>
        </w:rPr>
        <w:noBreakHyphen/>
      </w:r>
      <w:r w:rsidRPr="00251A46">
        <w:rPr>
          <w:lang w:val="en-PH"/>
        </w:rPr>
        <w:t>11</w:t>
      </w:r>
      <w:r w:rsidR="007E75B1">
        <w:rPr>
          <w:lang w:val="en-PH"/>
        </w:rPr>
        <w:noBreakHyphen/>
      </w:r>
      <w:r w:rsidRPr="00251A46">
        <w:rPr>
          <w:lang w:val="en-PH"/>
        </w:rPr>
        <w:t>570.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xml:space="preserve"> is valid only for the calendar year in which it is approved, unless eligible and approved for carry</w:t>
      </w:r>
      <w:r w:rsidR="007E75B1">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550.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sidR="007E75B1">
        <w:rPr>
          <w:lang w:val="en-PH"/>
        </w:rPr>
        <w:noBreakHyphen/>
      </w:r>
      <w:r w:rsidRPr="00A442D4">
        <w:rPr>
          <w:lang w:val="en-PH"/>
        </w:rPr>
        <w:t>forward</w:t>
      </w:r>
      <w:r w:rsidR="00044ED6" w:rsidRPr="00251A46">
        <w:rPr>
          <w:lang w:val="en-PH"/>
        </w:rPr>
        <w:t xml:space="preserve"> </w:t>
      </w:r>
      <w:r w:rsidRPr="00251A46">
        <w:rPr>
          <w:lang w:val="en-PH"/>
        </w:rPr>
        <w:t xml:space="preserve">election or unless specified differently in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acting during the period an approved allocation is valid, may</w:t>
      </w:r>
      <w:r w:rsidR="001E7FE1" w:rsidRPr="00251A46">
        <w:rPr>
          <w:lang w:val="en-PH"/>
        </w:rPr>
        <w:t xml:space="preserve"> </w:t>
      </w:r>
      <w:r w:rsidR="001E7FE1" w:rsidRPr="00251A46">
        <w:rPr>
          <w:u w:val="single"/>
          <w:lang w:val="en-PH"/>
        </w:rPr>
        <w:t>but need not</w:t>
      </w:r>
      <w:r w:rsidRPr="00251A46">
        <w:rPr>
          <w:lang w:val="en-PH"/>
        </w:rPr>
        <w:t xml:space="preserve"> extend the period in which an allocation is valid in a single calendar year by thirty</w:t>
      </w:r>
      <w:r w:rsidR="007E75B1">
        <w:rPr>
          <w:lang w:val="en-PH"/>
        </w:rPr>
        <w:noBreakHyphen/>
      </w:r>
      <w:r w:rsidRPr="00251A46">
        <w:rPr>
          <w:lang w:val="en-PH"/>
        </w:rPr>
        <w:t>one consecutive calendar days to a total of not more than one hundred twenty</w:t>
      </w:r>
      <w:r w:rsidR="007E75B1">
        <w:rPr>
          <w:lang w:val="en-PH"/>
        </w:rPr>
        <w:noBreakHyphen/>
      </w:r>
      <w:r w:rsidRPr="00251A46">
        <w:rPr>
          <w:lang w:val="en-PH"/>
        </w:rPr>
        <w:t>one consecutive calendar days.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may</w:t>
      </w:r>
      <w:r w:rsidR="001E7FE1" w:rsidRPr="00251A46">
        <w:rPr>
          <w:lang w:val="en-PH"/>
        </w:rPr>
        <w:t xml:space="preserve"> </w:t>
      </w:r>
      <w:r w:rsidR="001E7FE1" w:rsidRPr="00251A46">
        <w:rPr>
          <w:u w:val="single"/>
          <w:lang w:val="en-PH"/>
        </w:rPr>
        <w:t>but need not</w:t>
      </w:r>
      <w:r w:rsidRPr="00251A46">
        <w:rPr>
          <w:lang w:val="en-PH"/>
        </w:rPr>
        <w:t xml:space="preserve"> reinstate for a period of not more than thirty</w:t>
      </w:r>
      <w:r w:rsidR="007E75B1">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w:t>
      </w:r>
      <w:r w:rsidR="001E7FE1" w:rsidRPr="00251A46">
        <w:rPr>
          <w:lang w:val="en-PH"/>
        </w:rPr>
        <w:t xml:space="preserve"> </w:t>
      </w:r>
      <w:r w:rsidR="001E7FE1" w:rsidRPr="00251A46">
        <w:rPr>
          <w:u w:val="single"/>
          <w:lang w:val="en-PH"/>
        </w:rPr>
        <w:t>submitted</w:t>
      </w:r>
      <w:r w:rsidRPr="00251A46">
        <w:rPr>
          <w:lang w:val="en-PH"/>
        </w:rPr>
        <w:t xml:space="preserve"> is still true and correct or a new authorized request must be submitted.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sidR="007E75B1">
        <w:rPr>
          <w:lang w:val="en-PH"/>
        </w:rPr>
        <w:noBreakHyphen/>
      </w:r>
      <w:r w:rsidRPr="00251A46">
        <w:rPr>
          <w:lang w:val="en-PH"/>
        </w:rPr>
        <w:t>11</w:t>
      </w:r>
      <w:r w:rsidR="007E75B1">
        <w:rPr>
          <w:lang w:val="en-PH"/>
        </w:rPr>
        <w:noBreakHyphen/>
      </w:r>
      <w:r w:rsidRPr="00251A46">
        <w:rPr>
          <w:lang w:val="en-PH"/>
        </w:rPr>
        <w:t xml:space="preserve">550 to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before the bonds for which the allocation is made are issued.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sidR="007E75B1">
        <w:rPr>
          <w:strike/>
          <w:lang w:val="en-PH"/>
        </w:rPr>
        <w:t>’</w:t>
      </w:r>
      <w:r w:rsidRPr="00251A46">
        <w:rPr>
          <w:strike/>
          <w:lang w:val="en-PH"/>
        </w:rPr>
        <w:t>s</w:t>
      </w:r>
      <w:r w:rsidRPr="00251A46">
        <w:rPr>
          <w:lang w:val="en-PH"/>
        </w:rPr>
        <w:t xml:space="preserve"> </w:t>
      </w:r>
      <w:r w:rsidR="001E7FE1" w:rsidRPr="00251A46">
        <w:rPr>
          <w:u w:val="single"/>
          <w:lang w:val="en-PH"/>
        </w:rPr>
        <w:t>state authority</w:t>
      </w:r>
      <w:r w:rsidR="007E75B1">
        <w:rPr>
          <w:u w:val="single"/>
          <w:lang w:val="en-PH"/>
        </w:rPr>
        <w:t>’</w:t>
      </w:r>
      <w:r w:rsidR="001E7FE1" w:rsidRPr="00251A46">
        <w:rPr>
          <w:u w:val="single"/>
          <w:lang w:val="en-PH"/>
        </w:rPr>
        <w:t>s</w:t>
      </w:r>
      <w:r w:rsidR="001E7FE1" w:rsidRPr="00251A46">
        <w:rPr>
          <w:lang w:val="en-PH"/>
        </w:rPr>
        <w:t xml:space="preserve"> </w:t>
      </w:r>
      <w:r w:rsidRPr="00251A46">
        <w:rPr>
          <w:lang w:val="en-PH"/>
        </w:rPr>
        <w:t xml:space="preserve">records by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(G)</w:t>
      </w:r>
      <w:r w:rsidRPr="00251A46">
        <w:rPr>
          <w:lang w:val="en-PH"/>
        </w:rPr>
        <w:tab/>
        <w:t xml:space="preserve">Ceiling allocations which are eligible and approved for </w:t>
      </w:r>
      <w:r w:rsidRPr="00A442D4">
        <w:rPr>
          <w:lang w:val="en-PH"/>
        </w:rPr>
        <w:t>carry</w:t>
      </w:r>
      <w:r w:rsidR="007E75B1">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shall join with the issuing authorities involved in carry</w:t>
      </w:r>
      <w:r w:rsidR="007E75B1">
        <w:rPr>
          <w:lang w:val="en-PH"/>
        </w:rPr>
        <w:noBreakHyphen/>
      </w:r>
      <w:r w:rsidRPr="00251A46">
        <w:rPr>
          <w:lang w:val="en-PH"/>
        </w:rPr>
        <w:t>forward election statements to meet the requirements of the Internal Revenue Service.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 xml:space="preserve">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001E7FE1" w:rsidRPr="00251A46">
        <w:rPr>
          <w:lang w:val="en-PH"/>
        </w:rPr>
        <w:t xml:space="preserve"> </w:t>
      </w:r>
      <w:r w:rsidR="001E7FE1"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sidR="007E75B1">
        <w:rPr>
          <w:strike/>
          <w:lang w:val="en-PH"/>
        </w:rPr>
        <w:noBreakHyphen/>
      </w:r>
      <w:r w:rsidRPr="00251A46">
        <w:rPr>
          <w:strike/>
          <w:lang w:val="en-PH"/>
        </w:rPr>
        <w:t>11</w:t>
      </w:r>
      <w:r w:rsidR="007E75B1">
        <w:rPr>
          <w:strike/>
          <w:lang w:val="en-PH"/>
        </w:rPr>
        <w:noBreakHyphen/>
      </w:r>
      <w:r w:rsidRPr="00251A46">
        <w:rPr>
          <w:strike/>
          <w:lang w:val="en-PH"/>
        </w:rPr>
        <w:t>500 through 1</w:t>
      </w:r>
      <w:r w:rsidR="007E75B1">
        <w:rPr>
          <w:strike/>
          <w:lang w:val="en-PH"/>
        </w:rPr>
        <w:noBreakHyphen/>
      </w:r>
      <w:r w:rsidRPr="00251A46">
        <w:rPr>
          <w:strike/>
          <w:lang w:val="en-PH"/>
        </w:rPr>
        <w:t>11</w:t>
      </w:r>
      <w:r w:rsidR="007E75B1">
        <w:rPr>
          <w:strike/>
          <w:lang w:val="en-PH"/>
        </w:rPr>
        <w:noBreakHyphen/>
      </w:r>
      <w:r w:rsidRPr="00251A46">
        <w:rPr>
          <w:strike/>
          <w:lang w:val="en-PH"/>
        </w:rPr>
        <w:t>570</w:t>
      </w:r>
      <w:r w:rsidR="001E7FE1" w:rsidRPr="00251A46">
        <w:rPr>
          <w:lang w:val="en-PH"/>
        </w:rPr>
        <w:t xml:space="preserve"> </w:t>
      </w:r>
      <w:r w:rsidR="001E7FE1" w:rsidRPr="00251A46">
        <w:rPr>
          <w:u w:val="single"/>
          <w:lang w:val="en-PH"/>
        </w:rPr>
        <w:t xml:space="preserve">procedures, and any changes thereto, are subject to review and comment </w:t>
      </w:r>
      <w:r w:rsidR="00A442D4">
        <w:rPr>
          <w:u w:val="single"/>
          <w:lang w:val="en-PH"/>
        </w:rPr>
        <w:t>by</w:t>
      </w:r>
      <w:r w:rsidR="001E7FE1" w:rsidRPr="00251A46">
        <w:rPr>
          <w:u w:val="single"/>
          <w:lang w:val="en-PH"/>
        </w:rPr>
        <w:t xml:space="preserve"> the </w:t>
      </w:r>
      <w:r w:rsidR="004503CE" w:rsidRPr="00251A46">
        <w:rPr>
          <w:u w:val="single"/>
          <w:lang w:val="en-PH"/>
        </w:rPr>
        <w:t>Joint Bond Review C</w:t>
      </w:r>
      <w:r w:rsidR="001E7FE1" w:rsidRPr="00251A46">
        <w:rPr>
          <w:u w:val="single"/>
          <w:lang w:val="en-PH"/>
        </w:rPr>
        <w:t>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580</w:t>
      </w:r>
      <w:r w:rsidR="00A442D4">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r w:rsidR="001E7FE1" w:rsidRPr="00251A46">
        <w:rPr>
          <w:lang w:val="en-PH"/>
        </w:rPr>
        <w:t>”</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370 of the 1976 Code is repealed.</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r>
      <w:r w:rsidR="001A3DF5" w:rsidRPr="00251A46">
        <w:rPr>
          <w:lang w:val="en-PH"/>
        </w:rPr>
        <w:t>The provisions of Article 3, Chapter 11, Title 1 of the 1976 Code</w:t>
      </w:r>
      <w:r w:rsidR="008C1762">
        <w:rPr>
          <w:lang w:val="en-PH"/>
        </w:rPr>
        <w:t>,</w:t>
      </w:r>
      <w:r w:rsidR="001A3DF5" w:rsidRPr="00251A46">
        <w:rPr>
          <w:lang w:val="en-PH"/>
        </w:rPr>
        <w:t xml:space="preserve"> relating to the allocation of state ceiling on issuance of private activity bonds, as amended in this act, shall control if there is any conflict with any other provision of law or regulation, specifically including </w:t>
      </w:r>
      <w:r w:rsidRPr="00251A46">
        <w:rPr>
          <w:lang w:val="en-PH"/>
        </w:rPr>
        <w:t>Regulation 19</w:t>
      </w:r>
      <w:r w:rsidR="007E75B1">
        <w:rPr>
          <w:lang w:val="en-PH"/>
        </w:rPr>
        <w:noBreakHyphen/>
      </w:r>
      <w:r w:rsidRPr="00251A46">
        <w:rPr>
          <w:lang w:val="en-PH"/>
        </w:rPr>
        <w:t xml:space="preserve">103. </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r>
      <w:r w:rsidR="004503CE" w:rsidRPr="00251A46">
        <w:rPr>
          <w:lang w:val="en-PH"/>
        </w:rPr>
        <w:t>5</w:t>
      </w:r>
      <w:r w:rsidRPr="00251A46">
        <w:rPr>
          <w:lang w:val="en-PH"/>
        </w:rPr>
        <w:t>.</w:t>
      </w:r>
      <w:r w:rsidRPr="00251A46">
        <w:rPr>
          <w:lang w:val="en-PH"/>
        </w:rPr>
        <w:tab/>
      </w:r>
      <w:r w:rsidR="00A45A32" w:rsidRPr="00251A46">
        <w:rPr>
          <w:lang w:val="en-PH"/>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06EB" w:rsidRPr="009D6118" w:rsidRDefault="00F406EB" w:rsidP="00D80C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lastRenderedPageBreak/>
        <w:t>SECTION</w:t>
      </w:r>
      <w:r w:rsidRPr="00251A46">
        <w:tab/>
      </w:r>
      <w:r w:rsidR="004503CE" w:rsidRPr="00251A46">
        <w:t>6</w:t>
      </w:r>
      <w:r w:rsidRPr="00251A46">
        <w:t>.</w:t>
      </w:r>
      <w:r w:rsidRPr="00251A46">
        <w:tab/>
      </w:r>
      <w:r w:rsidR="004503CE"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rsidR="00353255" w:rsidRDefault="00353255" w:rsidP="00353255">
      <w:pPr>
        <w:suppressAutoHyphens/>
      </w:pPr>
    </w:p>
    <w:sectPr w:rsidR="00353255"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64" w:rsidRDefault="00CF7C64" w:rsidP="009F0C77">
      <w:r>
        <w:separator/>
      </w:r>
    </w:p>
  </w:endnote>
  <w:endnote w:type="continuationSeparator" w:id="0">
    <w:p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5A79F45-490C-468A-AA73-6A2C4B38E70F}"/>
  </w:font>
  <w:font w:name="Times New Roman">
    <w:panose1 w:val="02020603050405020304"/>
    <w:charset w:val="00"/>
    <w:family w:val="roman"/>
    <w:pitch w:val="variable"/>
    <w:sig w:usb0="E0002EFF" w:usb1="C000785B" w:usb2="00000009" w:usb3="00000000" w:csb0="000001FF" w:csb1="00000000"/>
    <w:embedRegular r:id="rId2" w:fontKey="{57480130-DB0C-4802-9A9C-93D65C01481E}"/>
    <w:embedBold r:id="rId3" w:fontKey="{126B47FC-C3BA-4FB9-A433-9D86004D41CB}"/>
  </w:font>
  <w:font w:name="Courier New">
    <w:panose1 w:val="02070309020205020404"/>
    <w:charset w:val="00"/>
    <w:family w:val="modern"/>
    <w:pitch w:val="fixed"/>
    <w:sig w:usb0="E0002EFF" w:usb1="C0007843" w:usb2="00000009" w:usb3="00000000" w:csb0="000001FF" w:csb1="00000000"/>
    <w:embedRegular r:id="rId4" w:fontKey="{0CC961F7-1BEA-4D47-899A-D69164531C77}"/>
  </w:font>
  <w:font w:name="Wingdings">
    <w:panose1 w:val="05000000000000000000"/>
    <w:charset w:val="02"/>
    <w:family w:val="auto"/>
    <w:pitch w:val="variable"/>
    <w:sig w:usb0="00000000" w:usb1="10000000" w:usb2="00000000" w:usb3="00000000" w:csb0="80000000" w:csb1="00000000"/>
    <w:embedRegular r:id="rId5" w:fontKey="{D6A662F2-A8D8-4E55-B952-ADEEDFD6BC70}"/>
  </w:font>
  <w:font w:name="Calibri">
    <w:panose1 w:val="020F0502020204030204"/>
    <w:charset w:val="00"/>
    <w:family w:val="swiss"/>
    <w:pitch w:val="variable"/>
    <w:sig w:usb0="E4002EFF" w:usb1="C000247B" w:usb2="00000009" w:usb3="00000000" w:csb0="000001FF" w:csb1="00000000"/>
    <w:embedRegular r:id="rId6" w:fontKey="{E2A51B88-B3A6-4D34-BE1F-A7A9401C62DB}"/>
  </w:font>
  <w:font w:name="Segoe UI">
    <w:panose1 w:val="020B0502040204020203"/>
    <w:charset w:val="00"/>
    <w:family w:val="swiss"/>
    <w:pitch w:val="variable"/>
    <w:sig w:usb0="E4002EFF" w:usb1="C000E47F" w:usb2="00000009" w:usb3="00000000" w:csb0="000001FF" w:csb1="00000000"/>
    <w:embedRegular r:id="rId7" w:fontKey="{4234648D-54DE-49DA-A4AE-48A3EAA6A453}"/>
  </w:font>
  <w:font w:name="Cambria">
    <w:panose1 w:val="02040503050406030204"/>
    <w:charset w:val="00"/>
    <w:family w:val="roman"/>
    <w:pitch w:val="variable"/>
    <w:sig w:usb0="E00006FF" w:usb1="420024FF" w:usb2="02000000" w:usb3="00000000" w:csb0="0000019F" w:csb1="00000000"/>
    <w:embedRegular r:id="rId8" w:fontKey="{36F3DF34-BF77-42F9-AAE3-B66B9E1F36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353255">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3532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64" w:rsidRDefault="00CF7C64" w:rsidP="009F0C77">
      <w:r>
        <w:separator/>
      </w:r>
    </w:p>
  </w:footnote>
  <w:footnote w:type="continuationSeparator" w:id="0">
    <w:p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208CD"/>
    <w:rsid w:val="00044ED6"/>
    <w:rsid w:val="00074304"/>
    <w:rsid w:val="000B2038"/>
    <w:rsid w:val="000D16EE"/>
    <w:rsid w:val="000E0100"/>
    <w:rsid w:val="000E1785"/>
    <w:rsid w:val="000F40FA"/>
    <w:rsid w:val="001035F1"/>
    <w:rsid w:val="0010776B"/>
    <w:rsid w:val="00133E66"/>
    <w:rsid w:val="001403A9"/>
    <w:rsid w:val="001435A3"/>
    <w:rsid w:val="00146ED3"/>
    <w:rsid w:val="00151044"/>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E5912"/>
    <w:rsid w:val="00301B21"/>
    <w:rsid w:val="00325348"/>
    <w:rsid w:val="0032732C"/>
    <w:rsid w:val="00336AD0"/>
    <w:rsid w:val="00345ACE"/>
    <w:rsid w:val="00353255"/>
    <w:rsid w:val="00354D1C"/>
    <w:rsid w:val="0037079A"/>
    <w:rsid w:val="003A5170"/>
    <w:rsid w:val="003C4DAB"/>
    <w:rsid w:val="003D01E8"/>
    <w:rsid w:val="003D5BD8"/>
    <w:rsid w:val="003E5288"/>
    <w:rsid w:val="003F6D79"/>
    <w:rsid w:val="0041760A"/>
    <w:rsid w:val="00417C01"/>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A47A0"/>
    <w:rsid w:val="006B387D"/>
    <w:rsid w:val="006D58AA"/>
    <w:rsid w:val="00710699"/>
    <w:rsid w:val="00734F00"/>
    <w:rsid w:val="00736959"/>
    <w:rsid w:val="00760F48"/>
    <w:rsid w:val="007A70AE"/>
    <w:rsid w:val="007E75B1"/>
    <w:rsid w:val="008362E8"/>
    <w:rsid w:val="0085786E"/>
    <w:rsid w:val="008A1768"/>
    <w:rsid w:val="008A489F"/>
    <w:rsid w:val="008C1762"/>
    <w:rsid w:val="008F0F33"/>
    <w:rsid w:val="008F4429"/>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80C81"/>
    <w:rsid w:val="00D970A9"/>
    <w:rsid w:val="00DF3845"/>
    <w:rsid w:val="00E41911"/>
    <w:rsid w:val="00E43E33"/>
    <w:rsid w:val="00E44B57"/>
    <w:rsid w:val="00E641C2"/>
    <w:rsid w:val="00E92EEF"/>
    <w:rsid w:val="00EF2368"/>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ED3B7-E66C-4392-830B-C630ED8C5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5058</Words>
  <Characters>27094</Characters>
  <Application>Microsoft Office Word</Application>
  <DocSecurity>0</DocSecurity>
  <Lines>572</Lines>
  <Paragraphs>88</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(Apr. 12, 2022) - South Carolina Legislature Online</dc:title>
  <dc:creator>Niki Downey</dc:creator>
  <cp:lastModifiedBy>Danny Crook</cp:lastModifiedBy>
  <cp:revision>2</cp:revision>
  <cp:lastPrinted>2022-04-12T17:32:00Z</cp:lastPrinted>
  <dcterms:created xsi:type="dcterms:W3CDTF">2022-04-12T19:13:00Z</dcterms:created>
  <dcterms:modified xsi:type="dcterms:W3CDTF">2022-04-12T19:13:00Z</dcterms:modified>
</cp:coreProperties>
</file>