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343E">
        <w:rPr>
          <w:rFonts w:eastAsia="Times New Roman"/>
        </w:rPr>
        <w:t xml:space="preserve">Section </w:t>
      </w:r>
      <w:r w:rsidR="00CB66B8">
        <w:rPr>
          <w:rFonts w:eastAsia="Times New Roman"/>
        </w:rPr>
        <w:t>12-2-10</w:t>
      </w:r>
      <w:r w:rsidR="009D3035">
        <w:rPr>
          <w:rFonts w:eastAsia="Times New Roman"/>
        </w:rPr>
        <w:t>0</w:t>
      </w:r>
      <w:r w:rsidR="00CB66B8">
        <w:rPr>
          <w:rFonts w:eastAsia="Times New Roman"/>
        </w:rPr>
        <w:t xml:space="preserve"> of the 1976 Code is amended to read:</w:t>
      </w: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12-2-10</w:t>
      </w:r>
      <w:r w:rsidR="009D3035">
        <w:rPr>
          <w:rFonts w:eastAsia="Times New Roman"/>
        </w:rPr>
        <w:t>0</w:t>
      </w:r>
      <w:r>
        <w:rPr>
          <w:rFonts w:eastAsia="Times New Roman"/>
        </w:rPr>
        <w:t>.</w:t>
      </w:r>
      <w:r>
        <w:rPr>
          <w:rFonts w:eastAsia="Times New Roman"/>
        </w:rPr>
        <w:tab/>
      </w:r>
      <w:r>
        <w:rPr>
          <w:rFonts w:eastAsia="Times New Roman"/>
          <w:u w:val="single"/>
        </w:rPr>
        <w:t>(A)</w:t>
      </w:r>
      <w:r>
        <w:rPr>
          <w:rFonts w:eastAsia="Times New Roman"/>
        </w:rPr>
        <w:tab/>
        <w:t>Unless otherwise provided by law, a tax credit administered by the department must be used in the year it is generated and must not be refunded.</w:t>
      </w:r>
    </w:p>
    <w:p w:rsidR="00CB66B8" w:rsidRP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 xml:space="preserve">A tax credit earned by a partnership or limited liability company taxed as a partnership pursuant to Sections 12-6-3535, 12-6-3795, or 12-65-10,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t>
      </w:r>
      <w:r w:rsidR="009D3035">
        <w:rPr>
          <w:rFonts w:eastAsia="Times New Roman"/>
          <w:u w:val="single"/>
        </w:rPr>
        <w:t>wa</w:t>
      </w:r>
      <w:r>
        <w:rPr>
          <w:rFonts w:eastAsia="Times New Roman"/>
          <w:u w:val="single"/>
        </w:rPr>
        <w:t>s allocated. The allocation must be allowed without regard to any provision of the Internal Revenue Code</w:t>
      </w:r>
      <w:r w:rsidR="009D3035">
        <w:rPr>
          <w:rFonts w:eastAsia="Times New Roman"/>
          <w:u w:val="single"/>
        </w:rPr>
        <w:t>,</w:t>
      </w:r>
      <w:r>
        <w:rPr>
          <w:rFonts w:eastAsia="Times New Roman"/>
          <w:u w:val="single"/>
        </w:rPr>
        <w:t xml:space="preserve"> or regulation promulgated pursuant </w:t>
      </w:r>
      <w:r w:rsidR="009D3035">
        <w:rPr>
          <w:rFonts w:eastAsia="Times New Roman"/>
          <w:u w:val="single"/>
        </w:rPr>
        <w:t>to it</w:t>
      </w:r>
      <w:r>
        <w:rPr>
          <w:rFonts w:eastAsia="Times New Roman"/>
          <w:u w:val="single"/>
        </w:rPr>
        <w:t>, that may be interpreted as contrary to the allocation, including, without limitation, the treatment of the allocation as a disguised sale.</w:t>
      </w:r>
      <w:r>
        <w:rPr>
          <w:rFonts w:eastAsia="Times New Roman"/>
        </w:rPr>
        <w:t>”</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Pr="00522CE0"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 xml:space="preserve">qualified project in service after January 1, 2020 but </w:t>
      </w:r>
      <w:r w:rsidR="00CB66B8">
        <w:rPr>
          <w:rFonts w:eastAsia="Times New Roman"/>
        </w:rPr>
        <w:lastRenderedPageBreak/>
        <w:t xml:space="preserve">before December 31, 2030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4841" w:rsidRDefault="00F84841" w:rsidP="00F84841">
      <w:pPr>
        <w:suppressAutoHyphens/>
        <w:jc w:val="both"/>
        <w:rPr>
          <w:rFonts w:eastAsia="Times New Roman"/>
        </w:rPr>
      </w:pPr>
    </w:p>
    <w:sectPr w:rsidR="00F84841" w:rsidSect="00F848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7A4E0-63F3-4767-A0AC-BF16ED5CC906}"/>
    <w:embedBold r:id="rId2" w:fontKey="{8FB5F38D-08E8-4E0B-9C5A-8319BB946905}"/>
  </w:font>
  <w:font w:name="Calibri">
    <w:panose1 w:val="020F0502020204030204"/>
    <w:charset w:val="00"/>
    <w:family w:val="swiss"/>
    <w:pitch w:val="variable"/>
    <w:sig w:usb0="E0002EFF" w:usb1="C000247B" w:usb2="00000009" w:usb3="00000000" w:csb0="000001FF" w:csb1="00000000"/>
    <w:embedRegular r:id="rId3" w:fontKey="{97DAA8B4-FDFB-485F-9A99-44D4BF40E3E1}"/>
  </w:font>
  <w:font w:name="Segoe UI">
    <w:panose1 w:val="020B0502040204020203"/>
    <w:charset w:val="00"/>
    <w:family w:val="swiss"/>
    <w:pitch w:val="variable"/>
    <w:sig w:usb0="E4002EFF" w:usb1="C000E47F" w:usb2="00000009" w:usb3="00000000" w:csb0="000001FF" w:csb1="00000000"/>
    <w:embedRegular r:id="rId4" w:fontKey="{66A9C9A3-1BCC-40EB-9BFA-7EE46CB2F9B7}"/>
  </w:font>
  <w:font w:name="Cambria">
    <w:panose1 w:val="02040503050406030204"/>
    <w:charset w:val="00"/>
    <w:family w:val="roman"/>
    <w:pitch w:val="variable"/>
    <w:sig w:usb0="E00006FF" w:usb1="420024FF" w:usb2="02000000" w:usb3="00000000" w:csb0="0000019F" w:csb1="00000000"/>
    <w:embedRegular r:id="rId5" w:fontKey="{E8972EE2-B343-44AF-A416-0648F67D50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60B8"/>
    <w:rsid w:val="00870F6F"/>
    <w:rsid w:val="008B2F42"/>
    <w:rsid w:val="008B343E"/>
    <w:rsid w:val="008C3697"/>
    <w:rsid w:val="008E185F"/>
    <w:rsid w:val="008F023B"/>
    <w:rsid w:val="00903144"/>
    <w:rsid w:val="00904E16"/>
    <w:rsid w:val="009162B3"/>
    <w:rsid w:val="00927C62"/>
    <w:rsid w:val="00983951"/>
    <w:rsid w:val="00984124"/>
    <w:rsid w:val="00984640"/>
    <w:rsid w:val="00995C37"/>
    <w:rsid w:val="009C118A"/>
    <w:rsid w:val="009D3035"/>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1326</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(Mar. 16, 2021) - South Carolina Legislature Online</dc:title>
  <dc:subject/>
  <dc:creator>Sara Parrish</dc:creator>
  <cp:keywords/>
  <dc:description/>
  <cp:lastModifiedBy>S Wilson</cp:lastModifiedBy>
  <cp:revision>2</cp:revision>
  <dcterms:created xsi:type="dcterms:W3CDTF">2021-03-16T18:09:00Z</dcterms:created>
  <dcterms:modified xsi:type="dcterms:W3CDTF">2021-03-16T18:09:00Z</dcterms:modified>
</cp:coreProperties>
</file>