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2C2" w:rsidRDefault="00ED62C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62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8192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3A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771E1">
        <w:rPr>
          <w:color w:val="000000" w:themeColor="text1"/>
          <w:u w:color="000000" w:themeColor="text1"/>
        </w:rPr>
        <w:t>TO AMEND SECTION 7</w:t>
      </w:r>
      <w:r w:rsidR="00930B49">
        <w:rPr>
          <w:color w:val="000000" w:themeColor="text1"/>
          <w:u w:color="000000" w:themeColor="text1"/>
        </w:rPr>
        <w:noBreakHyphen/>
      </w:r>
      <w:r w:rsidRPr="007771E1">
        <w:rPr>
          <w:color w:val="000000" w:themeColor="text1"/>
          <w:u w:color="000000" w:themeColor="text1"/>
        </w:rPr>
        <w:t>1</w:t>
      </w:r>
      <w:r w:rsidR="00930B49">
        <w:rPr>
          <w:color w:val="000000" w:themeColor="text1"/>
          <w:u w:color="000000" w:themeColor="text1"/>
        </w:rPr>
        <w:noBreakHyphen/>
      </w:r>
      <w:r w:rsidRPr="007771E1">
        <w:rPr>
          <w:color w:val="000000" w:themeColor="text1"/>
          <w:u w:color="000000" w:themeColor="text1"/>
        </w:rPr>
        <w:t>25, CODE OF LAWS OF SOUTH CAROLINA, 1976, RELATING TO THE DEFINITION OF “DOMICILE”, SO AS TO CLARIFY CIRCUMSTANCES UNDER WHICH A PERSON IS DEEMED TO HAVE CHANGED HIS DOMICILE FOR VOTING PURPOSES, AND TO REVISE THE FACTORS USED TO DETERMINE A PERSON</w:t>
      </w:r>
      <w:r w:rsidR="00930B4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INTENTION REGARDING HIS DOMICILE.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1926" w:rsidRDefault="00C819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81926" w:rsidRDefault="00C819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AB4" w:rsidRPr="007771E1" w:rsidRDefault="00C81926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A3AB4" w:rsidRPr="007771E1">
        <w:rPr>
          <w:color w:val="000000" w:themeColor="text1"/>
          <w:u w:color="000000" w:themeColor="text1"/>
        </w:rPr>
        <w:t>Section 7</w:t>
      </w:r>
      <w:r w:rsidR="00930B49">
        <w:rPr>
          <w:color w:val="000000" w:themeColor="text1"/>
          <w:u w:color="000000" w:themeColor="text1"/>
        </w:rPr>
        <w:noBreakHyphen/>
      </w:r>
      <w:r w:rsidR="00FA3AB4" w:rsidRPr="007771E1">
        <w:rPr>
          <w:color w:val="000000" w:themeColor="text1"/>
          <w:u w:color="000000" w:themeColor="text1"/>
        </w:rPr>
        <w:t>1</w:t>
      </w:r>
      <w:r w:rsidR="00930B49">
        <w:rPr>
          <w:color w:val="000000" w:themeColor="text1"/>
          <w:u w:color="000000" w:themeColor="text1"/>
        </w:rPr>
        <w:noBreakHyphen/>
      </w:r>
      <w:r w:rsidR="00FA3AB4" w:rsidRPr="007771E1">
        <w:rPr>
          <w:color w:val="000000" w:themeColor="text1"/>
          <w:u w:color="000000" w:themeColor="text1"/>
        </w:rPr>
        <w:t>25 of the 1976 Code is amended to read: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  <w:t>“Section 7</w:t>
      </w:r>
      <w:r w:rsidR="00930B49">
        <w:rPr>
          <w:color w:val="000000" w:themeColor="text1"/>
          <w:u w:color="000000" w:themeColor="text1"/>
        </w:rPr>
        <w:noBreakHyphen/>
      </w:r>
      <w:r w:rsidRPr="007771E1">
        <w:rPr>
          <w:color w:val="000000" w:themeColor="text1"/>
          <w:u w:color="000000" w:themeColor="text1"/>
        </w:rPr>
        <w:t>1</w:t>
      </w:r>
      <w:r w:rsidR="00930B49">
        <w:rPr>
          <w:color w:val="000000" w:themeColor="text1"/>
          <w:u w:color="000000" w:themeColor="text1"/>
        </w:rPr>
        <w:noBreakHyphen/>
      </w:r>
      <w:r w:rsidRPr="007771E1">
        <w:rPr>
          <w:color w:val="000000" w:themeColor="text1"/>
          <w:u w:color="000000" w:themeColor="text1"/>
        </w:rPr>
        <w:t>25.</w:t>
      </w:r>
      <w:r w:rsidRPr="007771E1">
        <w:rPr>
          <w:color w:val="000000" w:themeColor="text1"/>
          <w:u w:color="000000" w:themeColor="text1"/>
        </w:rPr>
        <w:tab/>
        <w:t>(A)</w:t>
      </w:r>
      <w:r w:rsidRPr="007771E1">
        <w:rPr>
          <w:color w:val="000000" w:themeColor="text1"/>
          <w:u w:color="000000" w:themeColor="text1"/>
        </w:rPr>
        <w:tab/>
        <w:t>A person</w:t>
      </w:r>
      <w:r w:rsidR="00930B4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resid</w:t>
      </w:r>
      <w:r>
        <w:rPr>
          <w:color w:val="000000" w:themeColor="text1"/>
          <w:u w:color="000000" w:themeColor="text1"/>
        </w:rPr>
        <w:t xml:space="preserve">ence is his domicile. </w:t>
      </w:r>
      <w:r w:rsidR="00930B49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Domicile</w:t>
      </w:r>
      <w:r w:rsidR="00930B4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 xml:space="preserve"> means a person</w:t>
      </w:r>
      <w:r w:rsidR="00930B4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fixed home where he has an intention of returning when he is absent. A person has only one domicile.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  <w:t>(B)</w:t>
      </w:r>
      <w:r w:rsidRPr="007771E1">
        <w:rPr>
          <w:color w:val="000000" w:themeColor="text1"/>
          <w:u w:val="single" w:color="000000" w:themeColor="text1"/>
        </w:rPr>
        <w:t>(1)</w:t>
      </w:r>
      <w:r w:rsidRPr="007771E1">
        <w:rPr>
          <w:color w:val="000000" w:themeColor="text1"/>
          <w:u w:color="000000" w:themeColor="text1"/>
        </w:rPr>
        <w:tab/>
        <w:t>For voting purposes, a person has changed his domicile if he</w:t>
      </w:r>
      <w:r w:rsidRPr="007771E1">
        <w:rPr>
          <w:color w:val="000000" w:themeColor="text1"/>
          <w:u w:val="single" w:color="000000" w:themeColor="text1"/>
        </w:rPr>
        <w:t>: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(1)</w:t>
      </w:r>
      <w:r w:rsidRPr="007771E1"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>has abandoned his prior home</w:t>
      </w:r>
      <w:r w:rsidRPr="007771E1">
        <w:rPr>
          <w:color w:val="000000" w:themeColor="text1"/>
          <w:u w:val="single" w:color="000000" w:themeColor="text1"/>
        </w:rPr>
        <w:t>;</w:t>
      </w:r>
      <w:r w:rsidRPr="007771E1">
        <w:rPr>
          <w:color w:val="000000" w:themeColor="text1"/>
          <w:u w:color="000000" w:themeColor="text1"/>
        </w:rPr>
        <w:t xml:space="preserve"> and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(2)</w:t>
      </w:r>
      <w:r w:rsidRPr="007771E1"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>has established a new home, has a present intention to make that place his home, and has no present intention to leave that place.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val="single" w:color="000000" w:themeColor="text1"/>
        </w:rPr>
        <w:t>(2)</w:t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val="single" w:color="000000" w:themeColor="text1"/>
        </w:rPr>
        <w:t xml:space="preserve">For voting purposes, a person also has changed his domicile if he enters another state, or another county or municipality within this </w:t>
      </w:r>
      <w:r>
        <w:rPr>
          <w:color w:val="000000" w:themeColor="text1"/>
          <w:u w:val="single" w:color="000000" w:themeColor="text1"/>
        </w:rPr>
        <w:t>S</w:t>
      </w:r>
      <w:r w:rsidRPr="007771E1">
        <w:rPr>
          <w:color w:val="000000" w:themeColor="text1"/>
          <w:u w:val="single" w:color="000000" w:themeColor="text1"/>
        </w:rPr>
        <w:t>tate, and while there exercises the right of a citizen by voting.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  <w:t>(C)</w:t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val="single" w:color="000000" w:themeColor="text1"/>
        </w:rPr>
        <w:t>A person who leaves his home for temporary purposes only with the intention of returning and enters another state, or another coun</w:t>
      </w:r>
      <w:r>
        <w:rPr>
          <w:color w:val="000000" w:themeColor="text1"/>
          <w:u w:val="single" w:color="000000" w:themeColor="text1"/>
        </w:rPr>
        <w:t>ty or municipality within this S</w:t>
      </w:r>
      <w:r w:rsidRPr="007771E1">
        <w:rPr>
          <w:color w:val="000000" w:themeColor="text1"/>
          <w:u w:val="single" w:color="000000" w:themeColor="text1"/>
        </w:rPr>
        <w:t>tate, is not considered to have changed his domicile unless the person registers to vote or performs other acts indicating a desire to change his domicile.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lastRenderedPageBreak/>
        <w:tab/>
      </w:r>
      <w:r w:rsidRPr="007771E1">
        <w:rPr>
          <w:color w:val="000000" w:themeColor="text1"/>
          <w:u w:val="single" w:color="000000" w:themeColor="text1"/>
        </w:rPr>
        <w:t>(D)</w:t>
      </w:r>
      <w:r w:rsidRPr="007771E1">
        <w:rPr>
          <w:color w:val="000000" w:themeColor="text1"/>
          <w:u w:color="000000" w:themeColor="text1"/>
        </w:rPr>
        <w:tab/>
        <w:t>For voting purposes, a spouse may establish a separate domicile.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(D)</w:t>
      </w:r>
      <w:r w:rsidRPr="007771E1">
        <w:rPr>
          <w:color w:val="000000" w:themeColor="text1"/>
          <w:u w:val="single" w:color="000000" w:themeColor="text1"/>
        </w:rPr>
        <w:t>(E)</w:t>
      </w:r>
      <w:r w:rsidRPr="007771E1">
        <w:rPr>
          <w:color w:val="000000" w:themeColor="text1"/>
          <w:u w:color="000000" w:themeColor="text1"/>
        </w:rPr>
        <w:tab/>
        <w:t>For voting purposes, factors to consider in determining a person</w:t>
      </w:r>
      <w:r w:rsidR="00930B4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intention regarding his domicile include, but are not limited to: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>a voter</w:t>
      </w:r>
      <w:r w:rsidR="00930B4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address reported on income tax returns;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>a voter</w:t>
      </w:r>
      <w:r w:rsidR="00930B4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real estate interests, including the address for which the legal residence tax assessment ratio is claimed pursuant to Section 12</w:t>
      </w:r>
      <w:r w:rsidR="00930B49">
        <w:rPr>
          <w:color w:val="000000" w:themeColor="text1"/>
          <w:u w:color="000000" w:themeColor="text1"/>
        </w:rPr>
        <w:noBreakHyphen/>
      </w:r>
      <w:r w:rsidRPr="007771E1">
        <w:rPr>
          <w:color w:val="000000" w:themeColor="text1"/>
          <w:u w:color="000000" w:themeColor="text1"/>
        </w:rPr>
        <w:t>43</w:t>
      </w:r>
      <w:r w:rsidR="00930B49">
        <w:rPr>
          <w:color w:val="000000" w:themeColor="text1"/>
          <w:u w:color="000000" w:themeColor="text1"/>
        </w:rPr>
        <w:noBreakHyphen/>
      </w:r>
      <w:r w:rsidRPr="007771E1">
        <w:rPr>
          <w:color w:val="000000" w:themeColor="text1"/>
          <w:u w:color="000000" w:themeColor="text1"/>
        </w:rPr>
        <w:t>220(C);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>a voter</w:t>
      </w:r>
      <w:r w:rsidR="00930B4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physical mailing address;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>a voter</w:t>
      </w:r>
      <w:r w:rsidR="00930B4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address on driver</w:t>
      </w:r>
      <w:r w:rsidR="00930B4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license or other identification issued by the Department of Motor Vehicles;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a voter</w:t>
      </w:r>
      <w:r w:rsidR="00930B49">
        <w:rPr>
          <w:strike/>
          <w:color w:val="000000" w:themeColor="text1"/>
          <w:u w:color="000000" w:themeColor="text1"/>
        </w:rPr>
        <w:t>’</w:t>
      </w:r>
      <w:r w:rsidRPr="007771E1">
        <w:rPr>
          <w:strike/>
          <w:color w:val="000000" w:themeColor="text1"/>
          <w:u w:color="000000" w:themeColor="text1"/>
        </w:rPr>
        <w:t>s address on legal and financial documents;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>a voter</w:t>
      </w:r>
      <w:r w:rsidR="00930B4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address utilized for educational purposes, such as public school assignment and determination of tuition at institutions of higher education;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(7)</w:t>
      </w:r>
      <w:r w:rsidRPr="007771E1">
        <w:rPr>
          <w:color w:val="000000" w:themeColor="text1"/>
          <w:u w:val="single" w:color="000000" w:themeColor="text1"/>
        </w:rPr>
        <w:t>(6)</w:t>
      </w:r>
      <w:r w:rsidRPr="00AC65B7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>a voter</w:t>
      </w:r>
      <w:r w:rsidR="00930B4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address on an automobile registration;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(8)</w:t>
      </w:r>
      <w:r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a voter</w:t>
      </w:r>
      <w:r w:rsidR="00930B49">
        <w:rPr>
          <w:strike/>
          <w:color w:val="000000" w:themeColor="text1"/>
          <w:u w:color="000000" w:themeColor="text1"/>
        </w:rPr>
        <w:t>’</w:t>
      </w:r>
      <w:r w:rsidRPr="007771E1">
        <w:rPr>
          <w:strike/>
          <w:color w:val="000000" w:themeColor="text1"/>
          <w:u w:color="000000" w:themeColor="text1"/>
        </w:rPr>
        <w:t>s address utilized for membership in clubs and organizations;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(9)</w:t>
      </w:r>
      <w:r w:rsidRPr="007771E1">
        <w:rPr>
          <w:color w:val="000000" w:themeColor="text1"/>
          <w:u w:val="single" w:color="000000" w:themeColor="text1"/>
        </w:rPr>
        <w:t>(7)</w:t>
      </w:r>
      <w:r w:rsidRPr="00AC65B7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>the location of a voter</w:t>
      </w:r>
      <w:r w:rsidR="00930B4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personal property;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(10)</w:t>
      </w:r>
      <w:r w:rsidRPr="007771E1">
        <w:rPr>
          <w:color w:val="000000" w:themeColor="text1"/>
          <w:u w:val="single" w:color="000000" w:themeColor="text1"/>
        </w:rPr>
        <w:t>(8)</w:t>
      </w:r>
      <w:r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>residence of a voter</w:t>
      </w:r>
      <w:r w:rsidR="00930B4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parents, spouse, and children</w:t>
      </w:r>
      <w:r w:rsidRPr="00AC1C10">
        <w:rPr>
          <w:strike/>
          <w:color w:val="000000" w:themeColor="text1"/>
          <w:u w:color="000000" w:themeColor="text1"/>
        </w:rPr>
        <w:t>; and</w:t>
      </w:r>
    </w:p>
    <w:p w:rsidR="00FA3AB4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(11)whether a voter temporarily relocated due to medical care for the voter or for a member of the voter</w:t>
      </w:r>
      <w:r w:rsidR="00930B49">
        <w:rPr>
          <w:strike/>
          <w:color w:val="000000" w:themeColor="text1"/>
          <w:u w:color="000000" w:themeColor="text1"/>
        </w:rPr>
        <w:t>’</w:t>
      </w:r>
      <w:r w:rsidRPr="007771E1">
        <w:rPr>
          <w:strike/>
          <w:color w:val="000000" w:themeColor="text1"/>
          <w:u w:color="000000" w:themeColor="text1"/>
        </w:rPr>
        <w:t>s immediate family</w:t>
      </w:r>
      <w:r w:rsidRPr="007771E1">
        <w:rPr>
          <w:color w:val="000000" w:themeColor="text1"/>
          <w:u w:color="000000" w:themeColor="text1"/>
        </w:rPr>
        <w:t>.”</w:t>
      </w:r>
    </w:p>
    <w:p w:rsidR="00FA3AB4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1926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D5E25" w:rsidRDefault="00930B4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62C2" w:rsidRDefault="00ED62C2" w:rsidP="00ED62C2">
      <w:pPr>
        <w:suppressAutoHyphens/>
      </w:pPr>
    </w:p>
    <w:sectPr w:rsidR="00ED62C2" w:rsidSect="00ED62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926" w:rsidRDefault="00C81926" w:rsidP="009F0C77">
      <w:r>
        <w:separator/>
      </w:r>
    </w:p>
  </w:endnote>
  <w:endnote w:type="continuationSeparator" w:id="0">
    <w:p w:rsidR="00C81926" w:rsidRDefault="00C819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CC07A9-9596-4BB2-BAA1-76EEFAA4C4C3}"/>
    <w:embedBold r:id="rId2" w:fontKey="{CEDC1359-DA55-4F02-AF34-698E129D0C9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45B2145-CB0F-4984-B044-77BD1B04A4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6F08C5D-8CF6-42CD-AFDD-FC0B7791BD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336A26-C33D-45FB-A47C-A959587664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5E25" w:rsidRPr="00ED62C2" w:rsidRDefault="00ED62C2" w:rsidP="00ED62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926" w:rsidRDefault="00C81926" w:rsidP="009F0C77">
      <w:r>
        <w:separator/>
      </w:r>
    </w:p>
  </w:footnote>
  <w:footnote w:type="continuationSeparator" w:id="0">
    <w:p w:rsidR="00C81926" w:rsidRDefault="00C819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6104ZW21"/>
    <w:docVar w:name="CoverBillType" w:val="b"/>
    <w:docVar w:name="DocPath" w:val="L:\Council\bills\CC\16104ZW21.DOCX"/>
    <w:docVar w:name="dvBillNumber" w:val="898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C81926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81221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0B4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D5E25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1926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809DB"/>
    <w:rsid w:val="00EB00A2"/>
    <w:rsid w:val="00EB1BF3"/>
    <w:rsid w:val="00ED62C2"/>
    <w:rsid w:val="00EF3EEE"/>
    <w:rsid w:val="00F149A7"/>
    <w:rsid w:val="00F50BAF"/>
    <w:rsid w:val="00F52C10"/>
    <w:rsid w:val="00F81FFD"/>
    <w:rsid w:val="00F85228"/>
    <w:rsid w:val="00F907F7"/>
    <w:rsid w:val="00FA3213"/>
    <w:rsid w:val="00FA3AB4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036219-DEA6-44DA-B782-C46A72B2E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12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22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7692B5-A8D8-4753-B40F-C9CFEA9D0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430</Words>
  <Characters>2209</Characters>
  <Application>Microsoft Office Word</Application>
  <DocSecurity>0</DocSecurity>
  <Lines>67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898 Text of Previous Version (Dec. 6, 2021) - South Carolina Legislature Online</dc:title>
  <dc:subject/>
  <dc:creator>Chris Charlton</dc:creator>
  <cp:keywords/>
  <dc:description/>
  <cp:lastModifiedBy>S Wilson</cp:lastModifiedBy>
  <cp:revision>2</cp:revision>
  <cp:lastPrinted>2021-12-03T20:24:00Z</cp:lastPrinted>
  <dcterms:created xsi:type="dcterms:W3CDTF">2021-12-06T20:13:00Z</dcterms:created>
  <dcterms:modified xsi:type="dcterms:W3CDTF">2021-12-06T20:13:00Z</dcterms:modified>
</cp:coreProperties>
</file>