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EEC6F" w14:textId="5388F62F"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8593D98" w14:textId="088DF274" w:rsidR="00675F19" w:rsidRP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00C9D1" w14:textId="3A7D4885"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3DFF8" w14:textId="3986BE4E"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13F8C0F" w14:textId="0A22119F"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2022</w:t>
      </w:r>
    </w:p>
    <w:p w14:paraId="1B11AD4C" w14:textId="5B7EDE69"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73B89" w14:textId="40C578EC" w:rsidR="00675F19" w:rsidRPr="00675F19" w:rsidRDefault="00675F19" w:rsidP="00675F19">
      <w:pPr>
        <w:tabs>
          <w:tab w:val="right" w:pos="5933"/>
        </w:tabs>
        <w:suppressAutoHyphens/>
        <w:jc w:val="both"/>
        <w:rPr>
          <w:rFonts w:eastAsia="Times New Roman"/>
        </w:rPr>
      </w:pPr>
      <w:r>
        <w:rPr>
          <w:rFonts w:eastAsia="Times New Roman"/>
        </w:rPr>
        <w:tab/>
      </w:r>
      <w:r>
        <w:rPr>
          <w:rFonts w:eastAsia="Times New Roman"/>
          <w:b/>
          <w:sz w:val="36"/>
        </w:rPr>
        <w:t>S. 906</w:t>
      </w:r>
    </w:p>
    <w:p w14:paraId="43903B94" w14:textId="26582E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B5F14" w14:textId="344FFF07"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77BB">
        <w:t>Senator Shealy</w:t>
      </w:r>
    </w:p>
    <w:p w14:paraId="3747E47D" w14:textId="1D0299FD"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A2EFB" w14:textId="3DD8B989" w:rsidR="00675F19" w:rsidRDefault="00675F19" w:rsidP="00D34BE6">
      <w:pPr>
        <w:tabs>
          <w:tab w:val="right" w:pos="5933"/>
        </w:tabs>
        <w:suppressAutoHyphens/>
        <w:jc w:val="both"/>
        <w:rPr>
          <w:rFonts w:eastAsia="Times New Roman"/>
        </w:rPr>
      </w:pPr>
      <w:r>
        <w:rPr>
          <w:rFonts w:eastAsia="Times New Roman"/>
        </w:rPr>
        <w:t>S. Printed 3/24/22--S.</w:t>
      </w:r>
      <w:r w:rsidR="00D34BE6">
        <w:rPr>
          <w:rFonts w:eastAsia="Times New Roman"/>
        </w:rPr>
        <w:tab/>
        <w:t>[SEC 3/28/22 11:42 AM]</w:t>
      </w:r>
    </w:p>
    <w:p w14:paraId="4F559431" w14:textId="42C3C308"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14:paraId="7D94F3DF" w14:textId="6E154676"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95A7F5" w14:textId="581A47C0"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F73BC" w14:textId="2B4BE5EF"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19C0C4DA" w14:textId="31CAF000"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57F14374" w14:textId="659CB0DE"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906) </w:t>
      </w:r>
      <w:r w:rsidRPr="00675F19">
        <w:rPr>
          <w:color w:val="000000" w:themeColor="text1"/>
          <w:u w:color="000000" w:themeColor="text1"/>
        </w:rPr>
        <w:t>to amend Section 43</w:t>
      </w:r>
      <w:r w:rsidRPr="00675F19">
        <w:rPr>
          <w:color w:val="000000" w:themeColor="text1"/>
          <w:u w:color="000000" w:themeColor="text1"/>
        </w:rPr>
        <w:noBreakHyphen/>
        <w:t>35</w:t>
      </w:r>
      <w:r w:rsidRPr="00675F19">
        <w:rPr>
          <w:color w:val="000000" w:themeColor="text1"/>
          <w:u w:color="000000" w:themeColor="text1"/>
        </w:rPr>
        <w:noBreakHyphen/>
        <w:t>10(3) of the 1976 Code, relating to the definition of “exploitation” in the “Omnibus Adult Protection Act”, to</w:t>
      </w:r>
      <w:r>
        <w:rPr>
          <w:rFonts w:eastAsia="Times New Roman"/>
        </w:rPr>
        <w:t>, etc., respectfully</w:t>
      </w:r>
    </w:p>
    <w:p w14:paraId="2107C96E" w14:textId="4E9B79AD"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E5D7C75" w14:textId="57EAB28E"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1D0E413"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4CFF4"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rFonts w:eastAsia="Times New Roman"/>
          <w:snapToGrid w:val="0"/>
          <w:szCs w:val="20"/>
        </w:rPr>
        <w:tab/>
        <w:t>Amend the bill, as and if amended, on page 2 by striking line 8 and adding:</w:t>
      </w:r>
    </w:p>
    <w:p w14:paraId="7A4A8A4B"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rFonts w:eastAsia="Times New Roman"/>
          <w:snapToGrid w:val="0"/>
          <w:szCs w:val="20"/>
        </w:rPr>
        <w:tab/>
      </w:r>
      <w:r w:rsidRPr="005B4F4C">
        <w:rPr>
          <w:rFonts w:eastAsia="Times New Roman"/>
          <w:snapToGrid w:val="0"/>
          <w:szCs w:val="20"/>
        </w:rPr>
        <w:tab/>
        <w:t>/</w:t>
      </w:r>
      <w:r w:rsidRPr="005B4F4C">
        <w:rPr>
          <w:u w:val="single" w:color="000000" w:themeColor="text1"/>
        </w:rPr>
        <w:t>adult from family or friends; or</w:t>
      </w:r>
    </w:p>
    <w:p w14:paraId="18A86A77"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4F4C">
        <w:rPr>
          <w:rFonts w:eastAsia="Times New Roman"/>
          <w:snapToGrid w:val="0"/>
          <w:szCs w:val="20"/>
        </w:rPr>
        <w:tab/>
      </w:r>
      <w:r w:rsidRPr="005B4F4C">
        <w:rPr>
          <w:rFonts w:eastAsia="Times New Roman"/>
          <w:snapToGrid w:val="0"/>
          <w:szCs w:val="20"/>
        </w:rPr>
        <w:tab/>
      </w:r>
      <w:r w:rsidRPr="005B4F4C">
        <w:rPr>
          <w:rFonts w:eastAsia="Times New Roman"/>
          <w:snapToGrid w:val="0"/>
          <w:szCs w:val="20"/>
        </w:rPr>
        <w:tab/>
      </w:r>
      <w:r w:rsidRPr="005B4F4C">
        <w:rPr>
          <w:u w:val="single" w:color="000000" w:themeColor="text1"/>
        </w:rPr>
        <w:t>(e)</w:t>
      </w:r>
      <w:r w:rsidRPr="005B4F4C">
        <w:tab/>
      </w:r>
      <w:r w:rsidRPr="005B4F4C">
        <w:rPr>
          <w:u w:val="single" w:color="000000" w:themeColor="text1"/>
        </w:rPr>
        <w:t>any unauthorized video or photographic recordation of a vulnerable adult, regardless of whether the vulnerable adult is aware of the recordation.</w:t>
      </w:r>
    </w:p>
    <w:p w14:paraId="10091D97"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4F4C">
        <w:rPr>
          <w:rFonts w:eastAsia="Times New Roman"/>
          <w:snapToGrid w:val="0"/>
          <w:szCs w:val="20"/>
        </w:rPr>
        <w:tab/>
      </w:r>
      <w:r w:rsidRPr="005B4F4C">
        <w:rPr>
          <w:rFonts w:eastAsia="Times New Roman"/>
          <w:snapToGrid w:val="0"/>
          <w:szCs w:val="20"/>
        </w:rPr>
        <w:tab/>
        <w:t>(4)</w:t>
      </w:r>
      <w:r w:rsidRPr="005B4F4C">
        <w:rPr>
          <w:rFonts w:eastAsia="Times New Roman"/>
          <w:snapToGrid w:val="0"/>
          <w:szCs w:val="20"/>
        </w:rPr>
        <w:tab/>
      </w:r>
      <w:r w:rsidRPr="005B4F4C">
        <w:rPr>
          <w:u w:val="single" w:color="000000" w:themeColor="text1"/>
        </w:rPr>
        <w:t>‘Unauthorized video or photographic recordation’ means the recording of any vulnerable adult without their consent, or in the event the vulnerable adult cannot give consent, without the consent of the agent in charge of the vulnerable adult. Those employed in the care of a vulnerable adult are never authorized to record a vulnerable adult unless required to do so in the duty of their employment, to assist with the medical care of the vulnerable adult, or to comply with law enforcement.</w:t>
      </w:r>
      <w:r w:rsidRPr="005B4F4C">
        <w:t>”</w:t>
      </w:r>
      <w:r w:rsidRPr="005B4F4C">
        <w:tab/>
      </w:r>
      <w:r w:rsidRPr="005B4F4C">
        <w:tab/>
        <w:t>/</w:t>
      </w:r>
      <w:r w:rsidRPr="005B4F4C">
        <w:tab/>
      </w:r>
    </w:p>
    <w:p w14:paraId="48C0F2D6"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tab/>
      </w:r>
      <w:r w:rsidRPr="005B4F4C">
        <w:rPr>
          <w:rFonts w:eastAsia="Times New Roman"/>
          <w:snapToGrid w:val="0"/>
          <w:szCs w:val="20"/>
        </w:rPr>
        <w:t>Amend the bill, as and if amended, on page 2 by striking line 40 and adding:</w:t>
      </w:r>
    </w:p>
    <w:p w14:paraId="2D30D270"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4F4C">
        <w:rPr>
          <w:rFonts w:eastAsia="Times New Roman"/>
          <w:snapToGrid w:val="0"/>
          <w:szCs w:val="20"/>
        </w:rPr>
        <w:tab/>
      </w:r>
      <w:r w:rsidRPr="005B4F4C">
        <w:rPr>
          <w:rFonts w:eastAsia="Times New Roman"/>
          <w:snapToGrid w:val="0"/>
          <w:szCs w:val="20"/>
        </w:rPr>
        <w:tab/>
        <w:t>/</w:t>
      </w:r>
      <w:r w:rsidRPr="005B4F4C">
        <w:rPr>
          <w:rFonts w:eastAsia="Times New Roman"/>
          <w:snapToGrid w:val="0"/>
          <w:szCs w:val="20"/>
        </w:rPr>
        <w:tab/>
      </w:r>
      <w:r w:rsidRPr="005B4F4C">
        <w:rPr>
          <w:u w:color="000000" w:themeColor="text1"/>
        </w:rPr>
        <w:t>SECTION</w:t>
      </w:r>
      <w:r w:rsidRPr="005B4F4C">
        <w:rPr>
          <w:u w:color="000000" w:themeColor="text1"/>
        </w:rPr>
        <w:tab/>
        <w:t>3.</w:t>
      </w:r>
      <w:r w:rsidRPr="005B4F4C">
        <w:rPr>
          <w:u w:color="000000" w:themeColor="text1"/>
        </w:rPr>
        <w:tab/>
        <w:t>Section 43</w:t>
      </w:r>
      <w:r w:rsidRPr="005B4F4C">
        <w:rPr>
          <w:u w:color="000000" w:themeColor="text1"/>
        </w:rPr>
        <w:noBreakHyphen/>
        <w:t>35</w:t>
      </w:r>
      <w:r w:rsidRPr="005B4F4C">
        <w:rPr>
          <w:u w:color="000000" w:themeColor="text1"/>
        </w:rPr>
        <w:noBreakHyphen/>
        <w:t>85 of the 1976 Code is amended by adding:</w:t>
      </w:r>
    </w:p>
    <w:p w14:paraId="4505CC3C"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B4F4C">
        <w:rPr>
          <w:rFonts w:eastAsia="Times New Roman"/>
          <w:snapToGrid w:val="0"/>
          <w:szCs w:val="20"/>
        </w:rPr>
        <w:lastRenderedPageBreak/>
        <w:tab/>
        <w:t>“</w:t>
      </w:r>
      <w:r w:rsidRPr="005B4F4C">
        <w:rPr>
          <w:rFonts w:eastAsia="Times New Roman"/>
          <w:snapToGrid w:val="0"/>
          <w:szCs w:val="20"/>
          <w:u w:val="single"/>
        </w:rPr>
        <w:t>(J)</w:t>
      </w:r>
      <w:r w:rsidRPr="005B4F4C">
        <w:rPr>
          <w:rFonts w:eastAsia="Times New Roman"/>
          <w:snapToGrid w:val="0"/>
          <w:szCs w:val="20"/>
        </w:rPr>
        <w:tab/>
      </w:r>
      <w:r w:rsidRPr="005B4F4C">
        <w:rPr>
          <w:rFonts w:eastAsia="Times New Roman"/>
          <w:snapToGrid w:val="0"/>
          <w:szCs w:val="20"/>
          <w:u w:val="single"/>
        </w:rPr>
        <w:t xml:space="preserve">Notwithstanding section (D), any person who, without authorization, knowingly and willfully records by video or photographic means a vulnerable adult in violation of </w:t>
      </w:r>
      <w:r w:rsidRPr="005B4F4C">
        <w:rPr>
          <w:u w:val="single" w:color="000000" w:themeColor="text1"/>
        </w:rPr>
        <w:t>43</w:t>
      </w:r>
      <w:r w:rsidRPr="005B4F4C">
        <w:rPr>
          <w:u w:val="single" w:color="000000" w:themeColor="text1"/>
        </w:rPr>
        <w:noBreakHyphen/>
        <w:t>35</w:t>
      </w:r>
      <w:r w:rsidRPr="005B4F4C">
        <w:rPr>
          <w:u w:val="single" w:color="000000" w:themeColor="text1"/>
        </w:rPr>
        <w:noBreakHyphen/>
        <w:t>10(3)(d), is guilty of a misdemeanor, and, upon conviction, must be fined not more than one thousand dollars or imprisoned not more than three years, or both. This is a lesser included offense to subsection (K).</w:t>
      </w:r>
    </w:p>
    <w:p w14:paraId="0A78E075"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4F4C">
        <w:rPr>
          <w:rFonts w:eastAsia="Times New Roman"/>
          <w:snapToGrid w:val="0"/>
          <w:szCs w:val="20"/>
        </w:rPr>
        <w:tab/>
      </w:r>
      <w:r w:rsidRPr="005B4F4C">
        <w:rPr>
          <w:rFonts w:eastAsia="Times New Roman"/>
          <w:snapToGrid w:val="0"/>
          <w:szCs w:val="20"/>
          <w:u w:val="single"/>
        </w:rPr>
        <w:t>(K)</w:t>
      </w:r>
      <w:r w:rsidRPr="005B4F4C">
        <w:rPr>
          <w:rFonts w:eastAsia="Times New Roman"/>
          <w:snapToGrid w:val="0"/>
          <w:szCs w:val="20"/>
        </w:rPr>
        <w:tab/>
      </w:r>
      <w:r w:rsidRPr="005B4F4C">
        <w:rPr>
          <w:u w:val="single" w:color="000000" w:themeColor="text1"/>
        </w:rPr>
        <w:t>Any person who, without authorization, knowingly and willfully distributes, publishes, or disseminates by any means any photographic or video recordation of a vulnerable adult is guilty of a felony and, upon conviction, must be fined not more than ten thousand dollars or imprisoned not more than ten years; or both.</w:t>
      </w:r>
      <w:r w:rsidRPr="005B4F4C">
        <w:rPr>
          <w:u w:color="000000" w:themeColor="text1"/>
        </w:rPr>
        <w:t>”</w:t>
      </w:r>
    </w:p>
    <w:p w14:paraId="5A47A6FE"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u w:color="000000" w:themeColor="text1"/>
        </w:rPr>
        <w:tab/>
        <w:t>SECTION</w:t>
      </w:r>
      <w:r w:rsidRPr="005B4F4C">
        <w:rPr>
          <w:u w:color="000000" w:themeColor="text1"/>
        </w:rPr>
        <w:tab/>
        <w:t>4.</w:t>
      </w:r>
      <w:r w:rsidRPr="005B4F4C">
        <w:rPr>
          <w:u w:color="000000" w:themeColor="text1"/>
        </w:rPr>
        <w:tab/>
        <w:t>This act takes effect upon approval by the Governor.</w:t>
      </w:r>
      <w:r w:rsidRPr="005B4F4C">
        <w:rPr>
          <w:u w:color="000000" w:themeColor="text1"/>
        </w:rPr>
        <w:tab/>
      </w:r>
      <w:r w:rsidRPr="005B4F4C">
        <w:rPr>
          <w:u w:color="000000" w:themeColor="text1"/>
        </w:rPr>
        <w:tab/>
        <w:t>/</w:t>
      </w:r>
      <w:r w:rsidRPr="005B4F4C">
        <w:rPr>
          <w:u w:color="000000" w:themeColor="text1"/>
        </w:rPr>
        <w:tab/>
      </w:r>
    </w:p>
    <w:p w14:paraId="09DE4AD9"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rFonts w:eastAsia="Times New Roman"/>
          <w:snapToGrid w:val="0"/>
          <w:szCs w:val="20"/>
        </w:rPr>
        <w:tab/>
        <w:t>Renumber sections to conform.</w:t>
      </w:r>
    </w:p>
    <w:p w14:paraId="2FEA21E0" w14:textId="77777777"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rFonts w:eastAsia="Times New Roman"/>
          <w:snapToGrid w:val="0"/>
          <w:szCs w:val="20"/>
        </w:rPr>
        <w:tab/>
        <w:t>Amend title to conform.</w:t>
      </w:r>
    </w:p>
    <w:p w14:paraId="44226D4F"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B55514A" w14:textId="1F79C560"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14:paraId="62F2D3BC" w14:textId="1B0776E8"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BBAA3C6"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22CFC"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5F19" w:rsidSect="00675F1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3E4B04D" w14:textId="52D77D4E" w:rsidR="001D0551" w:rsidRPr="00522CE0" w:rsidRDefault="001D0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C5A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A6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1DA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8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03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19D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F98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7C061" w14:textId="77777777" w:rsidR="00522CE0" w:rsidRPr="008F023B" w:rsidRDefault="00522CE0" w:rsidP="001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3985">
        <w:rPr>
          <w:rFonts w:eastAsia="Times New Roman"/>
          <w:b/>
          <w:sz w:val="30"/>
          <w:szCs w:val="30"/>
        </w:rPr>
        <w:t>BILL</w:t>
      </w:r>
    </w:p>
    <w:p w14:paraId="7F4C0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F7008" w14:textId="236D9211" w:rsidR="00522CE0" w:rsidRPr="00522CE0" w:rsidRDefault="00D7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0CD1">
        <w:rPr>
          <w:color w:val="000000" w:themeColor="text1"/>
          <w:u w:color="000000" w:themeColor="text1"/>
        </w:rPr>
        <w:t>TO AMEND 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Pr>
          <w:color w:val="000000" w:themeColor="text1"/>
          <w:u w:color="000000" w:themeColor="text1"/>
        </w:rPr>
        <w:t xml:space="preserve"> OF THE </w:t>
      </w:r>
      <w:r w:rsidRPr="00F60CD1">
        <w:rPr>
          <w:color w:val="000000" w:themeColor="text1"/>
          <w:u w:color="000000" w:themeColor="text1"/>
        </w:rPr>
        <w:t>1976</w:t>
      </w:r>
      <w:r>
        <w:rPr>
          <w:color w:val="000000" w:themeColor="text1"/>
          <w:u w:color="000000" w:themeColor="text1"/>
        </w:rPr>
        <w:t xml:space="preserve"> CODE</w:t>
      </w:r>
      <w:r w:rsidRPr="00F60CD1">
        <w:rPr>
          <w:color w:val="000000" w:themeColor="text1"/>
          <w:u w:color="000000" w:themeColor="text1"/>
        </w:rPr>
        <w:t xml:space="preserve">, RELATING TO </w:t>
      </w:r>
      <w:r w:rsidR="006D7B55" w:rsidRPr="00F60CD1">
        <w:rPr>
          <w:color w:val="000000" w:themeColor="text1"/>
          <w:u w:color="000000" w:themeColor="text1"/>
        </w:rPr>
        <w:t>THE DEFINITION OF “EXPLOITATION”</w:t>
      </w:r>
      <w:r w:rsidRPr="00F60CD1">
        <w:rPr>
          <w:color w:val="000000" w:themeColor="text1"/>
          <w:u w:color="000000" w:themeColor="text1"/>
        </w:rPr>
        <w:t xml:space="preserve"> IN THE “OMNIBUS ADULT PROTECTION ACT”, </w:t>
      </w:r>
      <w:r w:rsidR="005F40AF" w:rsidRPr="00F60CD1">
        <w:rPr>
          <w:color w:val="000000" w:themeColor="text1"/>
          <w:u w:color="000000" w:themeColor="text1"/>
        </w:rPr>
        <w:t xml:space="preserve">TO </w:t>
      </w:r>
      <w:r w:rsidR="00476D6C">
        <w:rPr>
          <w:color w:val="000000" w:themeColor="text1"/>
          <w:u w:color="000000" w:themeColor="text1"/>
        </w:rPr>
        <w:t>AMEND</w:t>
      </w:r>
      <w:r w:rsidR="005F40AF" w:rsidRPr="00F60CD1">
        <w:rPr>
          <w:color w:val="000000" w:themeColor="text1"/>
          <w:u w:color="000000" w:themeColor="text1"/>
        </w:rPr>
        <w:t xml:space="preserve"> THE DEFINITION OF “EXPLOITATION”</w:t>
      </w:r>
      <w:r w:rsidR="00476D6C">
        <w:rPr>
          <w:color w:val="000000" w:themeColor="text1"/>
          <w:u w:color="000000" w:themeColor="text1"/>
        </w:rPr>
        <w:t xml:space="preserve"> </w:t>
      </w:r>
      <w:r w:rsidR="00476D6C" w:rsidRPr="00476D6C">
        <w:rPr>
          <w:color w:val="000000" w:themeColor="text1"/>
        </w:rPr>
        <w:t>TO INCLUDE THE EXERC</w:t>
      </w:r>
      <w:r w:rsidR="00757B03">
        <w:rPr>
          <w:color w:val="000000" w:themeColor="text1"/>
        </w:rPr>
        <w:t xml:space="preserve">ISE OF EXTREME UNDUE INFLUENCE </w:t>
      </w:r>
      <w:r w:rsidR="00476D6C" w:rsidRPr="00476D6C">
        <w:rPr>
          <w:color w:val="000000" w:themeColor="text1"/>
        </w:rPr>
        <w:t>OVER, COERCIVE PERSUASION</w:t>
      </w:r>
      <w:r w:rsidR="00757B03">
        <w:rPr>
          <w:color w:val="000000" w:themeColor="text1"/>
        </w:rPr>
        <w:t xml:space="preserve"> OF,</w:t>
      </w:r>
      <w:r w:rsidR="00476D6C" w:rsidRPr="00476D6C">
        <w:rPr>
          <w:color w:val="000000" w:themeColor="text1"/>
        </w:rPr>
        <w:t xml:space="preserve"> OR PSYCHOLOGICALLY DAMAGING MANIPULATION OF A VULNERABLE ADULT</w:t>
      </w:r>
      <w:r w:rsidR="006D7B55">
        <w:rPr>
          <w:color w:val="000000" w:themeColor="text1"/>
          <w:u w:color="000000" w:themeColor="text1"/>
        </w:rPr>
        <w:t>;</w:t>
      </w:r>
      <w:r w:rsidR="005F40AF">
        <w:rPr>
          <w:color w:val="000000" w:themeColor="text1"/>
          <w:u w:color="000000" w:themeColor="text1"/>
        </w:rPr>
        <w:t xml:space="preserve"> AND </w:t>
      </w:r>
      <w:r w:rsidR="006D7B55" w:rsidRPr="00F60CD1">
        <w:rPr>
          <w:color w:val="000000" w:themeColor="text1"/>
          <w:u w:color="000000" w:themeColor="text1"/>
        </w:rPr>
        <w:t xml:space="preserve">TO </w:t>
      </w:r>
      <w:r w:rsidR="00CB28D3">
        <w:rPr>
          <w:color w:val="000000" w:themeColor="text1"/>
          <w:u w:color="000000" w:themeColor="text1"/>
        </w:rPr>
        <w:t xml:space="preserve">FURTHER </w:t>
      </w:r>
      <w:r w:rsidR="006D7B55" w:rsidRPr="00F60CD1">
        <w:rPr>
          <w:color w:val="000000" w:themeColor="text1"/>
          <w:u w:color="000000" w:themeColor="text1"/>
        </w:rPr>
        <w:t>AMEND SECTION 43</w:t>
      </w:r>
      <w:r w:rsidR="004C07D3">
        <w:rPr>
          <w:color w:val="000000" w:themeColor="text1"/>
          <w:u w:color="000000" w:themeColor="text1"/>
        </w:rPr>
        <w:noBreakHyphen/>
      </w:r>
      <w:r w:rsidR="006D7B55" w:rsidRPr="00F60CD1">
        <w:rPr>
          <w:color w:val="000000" w:themeColor="text1"/>
          <w:u w:color="000000" w:themeColor="text1"/>
        </w:rPr>
        <w:t>35</w:t>
      </w:r>
      <w:r w:rsidR="004C07D3">
        <w:rPr>
          <w:color w:val="000000" w:themeColor="text1"/>
          <w:u w:color="000000" w:themeColor="text1"/>
        </w:rPr>
        <w:noBreakHyphen/>
      </w:r>
      <w:r w:rsidR="006D7B55" w:rsidRPr="00F60CD1">
        <w:rPr>
          <w:color w:val="000000" w:themeColor="text1"/>
          <w:u w:color="000000" w:themeColor="text1"/>
        </w:rPr>
        <w:t>10</w:t>
      </w:r>
      <w:r w:rsidR="006D7B55">
        <w:rPr>
          <w:color w:val="000000" w:themeColor="text1"/>
          <w:u w:color="000000" w:themeColor="text1"/>
        </w:rPr>
        <w:t xml:space="preserve"> BY ADDING</w:t>
      </w:r>
      <w:r w:rsidRPr="00F60CD1">
        <w:rPr>
          <w:color w:val="000000" w:themeColor="text1"/>
          <w:u w:color="000000" w:themeColor="text1"/>
        </w:rPr>
        <w:t xml:space="preserve"> A DEFINITION FOR “UNDUE INFLUENCE”.</w:t>
      </w:r>
      <w:bookmarkEnd w:id="1"/>
    </w:p>
    <w:p w14:paraId="0529A17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246C2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55531A2"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6EAD" w14:textId="4DE782B3" w:rsidR="00F549C3" w:rsidRPr="00386CCB" w:rsidRDefault="00D744EC"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CD1">
        <w:rPr>
          <w:color w:val="000000" w:themeColor="text1"/>
          <w:u w:color="000000" w:themeColor="text1"/>
        </w:rPr>
        <w:t>1.</w:t>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sidRPr="00F60CD1">
        <w:rPr>
          <w:color w:val="000000" w:themeColor="text1"/>
          <w:u w:color="000000" w:themeColor="text1"/>
        </w:rPr>
        <w:t xml:space="preserve"> of the 1976 Code is amended </w:t>
      </w:r>
      <w:r w:rsidR="00F549C3">
        <w:rPr>
          <w:color w:val="000000" w:themeColor="text1"/>
          <w:u w:color="000000" w:themeColor="text1"/>
        </w:rPr>
        <w:t>to read</w:t>
      </w:r>
      <w:r w:rsidR="005F40AF">
        <w:rPr>
          <w:color w:val="000000" w:themeColor="text1"/>
          <w:u w:color="000000" w:themeColor="text1"/>
        </w:rPr>
        <w:t>:</w:t>
      </w:r>
    </w:p>
    <w:p w14:paraId="63D1BA10" w14:textId="3133B858"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A0E5D">
        <w:rPr>
          <w:color w:val="000000" w:themeColor="text1"/>
          <w:u w:color="000000" w:themeColor="text1"/>
        </w:rPr>
        <w:t>“</w:t>
      </w:r>
      <w:r>
        <w:rPr>
          <w:color w:val="000000" w:themeColor="text1"/>
          <w:u w:color="000000" w:themeColor="text1"/>
        </w:rPr>
        <w:t>(3)</w:t>
      </w:r>
      <w:r>
        <w:rPr>
          <w:color w:val="000000" w:themeColor="text1"/>
          <w:u w:color="000000" w:themeColor="text1"/>
        </w:rPr>
        <w:tab/>
      </w:r>
      <w:r w:rsidR="009A0002">
        <w:rPr>
          <w:color w:val="000000" w:themeColor="text1"/>
          <w:u w:color="000000" w:themeColor="text1"/>
        </w:rPr>
        <w:t>‘</w:t>
      </w:r>
      <w:r w:rsidRPr="00386CCB">
        <w:rPr>
          <w:color w:val="000000" w:themeColor="text1"/>
          <w:u w:color="000000" w:themeColor="text1"/>
        </w:rPr>
        <w:t>Exploitation</w:t>
      </w:r>
      <w:r w:rsidR="009A0002">
        <w:rPr>
          <w:color w:val="000000" w:themeColor="text1"/>
          <w:u w:color="000000" w:themeColor="text1"/>
        </w:rPr>
        <w:t>’</w:t>
      </w:r>
      <w:r w:rsidRPr="00386CCB">
        <w:rPr>
          <w:color w:val="000000" w:themeColor="text1"/>
          <w:u w:color="000000" w:themeColor="text1"/>
        </w:rPr>
        <w:t xml:space="preserve"> means:</w:t>
      </w:r>
    </w:p>
    <w:p w14:paraId="7FDBE222"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6CCB">
        <w:rPr>
          <w:color w:val="000000" w:themeColor="text1"/>
          <w:u w:color="000000" w:themeColor="text1"/>
        </w:rPr>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14:paraId="317F28E4"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86CCB">
        <w:rPr>
          <w:color w:val="000000" w:themeColor="text1"/>
          <w:u w:color="000000" w:themeColor="text1"/>
        </w:rPr>
        <w:t>an improper, unlawful, or unauthorized use of the funds, assets, property, power of attorney, guardianship, or conservatorship of a vulnerable adult by a person for the profit or advantage of that person or another person; or</w:t>
      </w:r>
    </w:p>
    <w:p w14:paraId="072B7379" w14:textId="2D13D3C2" w:rsidR="00F549C3"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86CCB">
        <w:rPr>
          <w:color w:val="000000" w:themeColor="text1"/>
          <w:u w:color="000000" w:themeColor="text1"/>
        </w:rPr>
        <w:t>causing a vulnerable adult to purchase goods or services for the profit or advantage of the seller or</w:t>
      </w:r>
      <w:r>
        <w:rPr>
          <w:color w:val="000000" w:themeColor="text1"/>
          <w:u w:color="000000" w:themeColor="text1"/>
        </w:rPr>
        <w:t xml:space="preserve"> another person through</w:t>
      </w:r>
      <w:r w:rsidR="00EF35FC">
        <w:rPr>
          <w:color w:val="000000" w:themeColor="text1"/>
          <w:u w:color="000000" w:themeColor="text1"/>
        </w:rPr>
        <w:t xml:space="preserve"> </w:t>
      </w:r>
      <w:r>
        <w:rPr>
          <w:color w:val="000000" w:themeColor="text1"/>
          <w:u w:color="000000" w:themeColor="text1"/>
        </w:rPr>
        <w:t>(i)</w:t>
      </w:r>
      <w:r w:rsidR="00EF35FC">
        <w:rPr>
          <w:color w:val="000000" w:themeColor="text1"/>
          <w:u w:color="000000" w:themeColor="text1"/>
        </w:rPr>
        <w:t xml:space="preserve"> </w:t>
      </w:r>
      <w:r>
        <w:rPr>
          <w:color w:val="000000" w:themeColor="text1"/>
          <w:u w:color="000000" w:themeColor="text1"/>
        </w:rPr>
        <w:t>undue influence,</w:t>
      </w:r>
      <w:r w:rsidR="00EF35FC">
        <w:rPr>
          <w:color w:val="000000" w:themeColor="text1"/>
          <w:u w:color="000000" w:themeColor="text1"/>
        </w:rPr>
        <w:t xml:space="preserve"> </w:t>
      </w:r>
      <w:r>
        <w:rPr>
          <w:color w:val="000000" w:themeColor="text1"/>
          <w:u w:color="000000" w:themeColor="text1"/>
        </w:rPr>
        <w:t>(ii)</w:t>
      </w:r>
      <w:r w:rsidR="00D34BE6">
        <w:rPr>
          <w:color w:val="000000" w:themeColor="text1"/>
          <w:u w:color="000000" w:themeColor="text1"/>
        </w:rPr>
        <w:t xml:space="preserve"> </w:t>
      </w:r>
      <w:r>
        <w:rPr>
          <w:color w:val="000000" w:themeColor="text1"/>
          <w:u w:color="000000" w:themeColor="text1"/>
        </w:rPr>
        <w:t>harassment,</w:t>
      </w:r>
      <w:r w:rsidR="00EF35FC">
        <w:rPr>
          <w:color w:val="000000" w:themeColor="text1"/>
          <w:u w:color="000000" w:themeColor="text1"/>
        </w:rPr>
        <w:t xml:space="preserve"> </w:t>
      </w:r>
      <w:r>
        <w:rPr>
          <w:color w:val="000000" w:themeColor="text1"/>
          <w:u w:color="000000" w:themeColor="text1"/>
        </w:rPr>
        <w:t>(iii)</w:t>
      </w:r>
      <w:r w:rsidR="00EF35FC">
        <w:rPr>
          <w:color w:val="000000" w:themeColor="text1"/>
          <w:u w:color="000000" w:themeColor="text1"/>
        </w:rPr>
        <w:t xml:space="preserve"> </w:t>
      </w:r>
      <w:r w:rsidRPr="00386CCB">
        <w:rPr>
          <w:color w:val="000000" w:themeColor="text1"/>
          <w:u w:color="000000" w:themeColor="text1"/>
        </w:rPr>
        <w:t>dures</w:t>
      </w:r>
      <w:r>
        <w:rPr>
          <w:color w:val="000000" w:themeColor="text1"/>
          <w:u w:color="000000" w:themeColor="text1"/>
        </w:rPr>
        <w:t>s,</w:t>
      </w:r>
      <w:r w:rsidR="00EF35FC">
        <w:rPr>
          <w:color w:val="000000" w:themeColor="text1"/>
          <w:u w:color="000000" w:themeColor="text1"/>
        </w:rPr>
        <w:t xml:space="preserve"> </w:t>
      </w:r>
      <w:r>
        <w:rPr>
          <w:color w:val="000000" w:themeColor="text1"/>
          <w:u w:color="000000" w:themeColor="text1"/>
        </w:rPr>
        <w:t>(iv)</w:t>
      </w:r>
      <w:r w:rsidR="00EF35FC">
        <w:rPr>
          <w:color w:val="000000" w:themeColor="text1"/>
          <w:u w:color="000000" w:themeColor="text1"/>
        </w:rPr>
        <w:t xml:space="preserve"> </w:t>
      </w:r>
      <w:r>
        <w:rPr>
          <w:color w:val="000000" w:themeColor="text1"/>
          <w:u w:color="000000" w:themeColor="text1"/>
        </w:rPr>
        <w:t>force,</w:t>
      </w:r>
      <w:r w:rsidR="00EF35FC">
        <w:rPr>
          <w:color w:val="000000" w:themeColor="text1"/>
          <w:u w:color="000000" w:themeColor="text1"/>
        </w:rPr>
        <w:t xml:space="preserve"> </w:t>
      </w:r>
      <w:r>
        <w:rPr>
          <w:color w:val="000000" w:themeColor="text1"/>
          <w:u w:color="000000" w:themeColor="text1"/>
        </w:rPr>
        <w:t>(v)</w:t>
      </w:r>
      <w:r w:rsidR="00EF35FC">
        <w:rPr>
          <w:color w:val="000000" w:themeColor="text1"/>
          <w:u w:color="000000" w:themeColor="text1"/>
        </w:rPr>
        <w:t xml:space="preserve"> </w:t>
      </w:r>
      <w:r>
        <w:rPr>
          <w:color w:val="000000" w:themeColor="text1"/>
          <w:u w:color="000000" w:themeColor="text1"/>
        </w:rPr>
        <w:t>coercion, or</w:t>
      </w:r>
      <w:r w:rsidR="00EF35FC">
        <w:rPr>
          <w:color w:val="000000" w:themeColor="text1"/>
          <w:u w:color="000000" w:themeColor="text1"/>
        </w:rPr>
        <w:t xml:space="preserve"> </w:t>
      </w:r>
      <w:r>
        <w:rPr>
          <w:color w:val="000000" w:themeColor="text1"/>
          <w:u w:color="000000" w:themeColor="text1"/>
        </w:rPr>
        <w:t>(vi)</w:t>
      </w:r>
      <w:r w:rsidR="00EF35FC">
        <w:rPr>
          <w:color w:val="000000" w:themeColor="text1"/>
          <w:u w:color="000000" w:themeColor="text1"/>
        </w:rPr>
        <w:t xml:space="preserve"> </w:t>
      </w:r>
      <w:r w:rsidRPr="00386CCB">
        <w:rPr>
          <w:color w:val="000000" w:themeColor="text1"/>
          <w:u w:color="000000" w:themeColor="text1"/>
        </w:rPr>
        <w:t xml:space="preserve">swindling by overreaching, cheating, or defrauding </w:t>
      </w:r>
      <w:r w:rsidRPr="00386CCB">
        <w:rPr>
          <w:color w:val="000000" w:themeColor="text1"/>
          <w:u w:color="000000" w:themeColor="text1"/>
        </w:rPr>
        <w:lastRenderedPageBreak/>
        <w:t xml:space="preserve">the vulnerable adult through cunning arts or devices that delude the vulnerable adult and cause him </w:t>
      </w:r>
      <w:r>
        <w:rPr>
          <w:color w:val="000000" w:themeColor="text1"/>
          <w:u w:color="000000" w:themeColor="text1"/>
        </w:rPr>
        <w:t>to lose money or other property; or</w:t>
      </w:r>
    </w:p>
    <w:p w14:paraId="28F99697" w14:textId="725427FF"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7215">
        <w:rPr>
          <w:color w:val="000000" w:themeColor="text1"/>
          <w:u w:color="000000" w:themeColor="text1"/>
        </w:rPr>
        <w:tab/>
      </w:r>
      <w:r w:rsidRPr="00437215">
        <w:rPr>
          <w:color w:val="000000" w:themeColor="text1"/>
          <w:u w:color="000000" w:themeColor="text1"/>
        </w:rPr>
        <w:tab/>
      </w:r>
      <w:r w:rsidRPr="00437215">
        <w:rPr>
          <w:color w:val="000000" w:themeColor="text1"/>
          <w:u w:color="000000" w:themeColor="text1"/>
        </w:rPr>
        <w:tab/>
      </w:r>
      <w:r w:rsidRPr="00D744EC">
        <w:rPr>
          <w:color w:val="000000" w:themeColor="text1"/>
          <w:u w:val="single" w:color="000000" w:themeColor="text1"/>
        </w:rPr>
        <w:t>(d</w:t>
      </w:r>
      <w:r>
        <w:rPr>
          <w:color w:val="000000" w:themeColor="text1"/>
          <w:u w:val="single" w:color="000000" w:themeColor="text1"/>
        </w:rPr>
        <w:t>)</w:t>
      </w:r>
      <w:r>
        <w:rPr>
          <w:color w:val="000000" w:themeColor="text1"/>
          <w:u w:val="single" w:color="000000" w:themeColor="text1"/>
        </w:rPr>
        <w:tab/>
      </w:r>
      <w:r w:rsidRPr="00D744EC">
        <w:rPr>
          <w:color w:val="000000" w:themeColor="text1"/>
          <w:u w:val="single" w:color="000000" w:themeColor="text1"/>
        </w:rPr>
        <w:t>exercising extreme undue influence over, coercive persuasion</w:t>
      </w:r>
      <w:r w:rsidR="00757B03">
        <w:rPr>
          <w:color w:val="000000" w:themeColor="text1"/>
          <w:u w:val="single" w:color="000000" w:themeColor="text1"/>
        </w:rPr>
        <w:t xml:space="preserve"> of,</w:t>
      </w:r>
      <w:r w:rsidRPr="00D744EC">
        <w:rPr>
          <w:color w:val="000000" w:themeColor="text1"/>
          <w:u w:val="single" w:color="000000" w:themeColor="text1"/>
        </w:rPr>
        <w:t xml:space="preserve"> or psychologically damaging manipulation of a vulnerable adult that results in physical or emotional harm or the loss of financial assets, disrupts a parent</w:t>
      </w:r>
      <w:r w:rsidR="004C07D3">
        <w:rPr>
          <w:color w:val="000000" w:themeColor="text1"/>
          <w:u w:val="single" w:color="000000" w:themeColor="text1"/>
        </w:rPr>
        <w:noBreakHyphen/>
      </w:r>
      <w:r w:rsidRPr="00D744EC">
        <w:rPr>
          <w:color w:val="000000" w:themeColor="text1"/>
          <w:u w:val="single" w:color="000000" w:themeColor="text1"/>
        </w:rPr>
        <w:t>child relationship, leads to a deceptive or exploitive relationship, or isolates the vulnerable adult from family or friends.</w:t>
      </w:r>
      <w:r w:rsidR="002F0FF5" w:rsidRPr="000E2FDD">
        <w:rPr>
          <w:color w:val="000000" w:themeColor="text1"/>
          <w:u w:color="000000" w:themeColor="text1"/>
        </w:rPr>
        <w:t>”</w:t>
      </w:r>
    </w:p>
    <w:p w14:paraId="72E7B39D" w14:textId="54C3106D"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5A0A26" w14:textId="2FA4F50A"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 of the 1976 Code is amended</w:t>
      </w:r>
      <w:r>
        <w:rPr>
          <w:color w:val="000000" w:themeColor="text1"/>
          <w:u w:color="000000" w:themeColor="text1"/>
        </w:rPr>
        <w:t xml:space="preserve"> by adding an appropriately numbered new item to read:</w:t>
      </w:r>
    </w:p>
    <w:p w14:paraId="61005305" w14:textId="77777777" w:rsidR="006D7B55" w:rsidRPr="00F60CD1"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0F75A6" w14:textId="715B4369" w:rsidR="00D744EC" w:rsidRPr="00476D6C" w:rsidRDefault="00476D6C"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00F549C3" w:rsidRPr="00476D6C">
        <w:rPr>
          <w:color w:val="000000" w:themeColor="text1"/>
        </w:rPr>
        <w:t>(</w:t>
      </w:r>
      <w:r w:rsidR="006D7B55" w:rsidRPr="00476D6C">
        <w:rPr>
          <w:color w:val="000000" w:themeColor="text1"/>
        </w:rPr>
        <w:tab/>
      </w:r>
      <w:r w:rsidR="00D744EC" w:rsidRPr="00476D6C">
        <w:rPr>
          <w:color w:val="000000" w:themeColor="text1"/>
        </w:rPr>
        <w:t>)</w:t>
      </w:r>
      <w:r w:rsidR="00F549C3" w:rsidRPr="00476D6C">
        <w:rPr>
          <w:color w:val="000000" w:themeColor="text1"/>
        </w:rPr>
        <w:tab/>
      </w:r>
      <w:r w:rsidR="00D744EC" w:rsidRPr="00476D6C">
        <w:rPr>
          <w:color w:val="000000" w:themeColor="text1"/>
        </w:rPr>
        <w:t xml:space="preserve">‘Undue influence’ means excessive persuasion that causes a vulnerable adult to act or refrain from acting by overcoming the vulnerable adult’s free will and </w:t>
      </w:r>
      <w:r w:rsidR="004067A2">
        <w:rPr>
          <w:color w:val="000000" w:themeColor="text1"/>
        </w:rPr>
        <w:t xml:space="preserve">that </w:t>
      </w:r>
      <w:r w:rsidR="00D744EC" w:rsidRPr="00476D6C">
        <w:rPr>
          <w:color w:val="000000" w:themeColor="text1"/>
        </w:rPr>
        <w:t>results in inequity, taking into consideration all of the following:</w:t>
      </w:r>
    </w:p>
    <w:p w14:paraId="48212A36"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(a)</w:t>
      </w:r>
      <w:r w:rsidR="00D744EC" w:rsidRPr="00476D6C">
        <w:rPr>
          <w:color w:val="000000" w:themeColor="text1"/>
        </w:rPr>
        <w:tab/>
        <w:t>whether the influencer knew of, or should have known of, the alleged victim’s vulnerability;</w:t>
      </w:r>
    </w:p>
    <w:p w14:paraId="3B5D2957"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(b)</w:t>
      </w:r>
      <w:r w:rsidRPr="00476D6C">
        <w:rPr>
          <w:color w:val="000000" w:themeColor="text1"/>
        </w:rPr>
        <w:tab/>
      </w:r>
      <w:r w:rsidR="00D744EC" w:rsidRPr="00476D6C">
        <w:rPr>
          <w:color w:val="000000" w:themeColor="text1"/>
        </w:rPr>
        <w:t>the influencer’s apparent authority over the vulnerable adult including, but not limited to, status as a fiduciary, family member, caregiver, health care professional, legal professional, spiritual adviser, expert, or other qualification;</w:t>
      </w:r>
    </w:p>
    <w:p w14:paraId="0007D2A4"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(c)</w:t>
      </w:r>
      <w:r w:rsidRPr="00476D6C">
        <w:rPr>
          <w:color w:val="000000" w:themeColor="text1"/>
        </w:rPr>
        <w:tab/>
      </w:r>
      <w:r w:rsidR="00D744EC" w:rsidRPr="00476D6C">
        <w:rPr>
          <w:color w:val="000000" w:themeColor="text1"/>
        </w:rPr>
        <w:t>the actions or tactics used by the influencer including, but not limited to, controlling the vulnerable adult’s necessities of life, medication, interactions with others, access to information, or sleep; the use of affection, intimidation, or coercion; or the initiation of changes in person or property rights, using haste or secrecy in effecting those changes, effecting changes at inappropriate times and places, or claiming expertise in effecting changes; and</w:t>
      </w:r>
    </w:p>
    <w:p w14:paraId="47287D7F" w14:textId="5D3F1682" w:rsidR="00D744EC" w:rsidRPr="00F60CD1"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(d)</w:t>
      </w:r>
      <w:r w:rsidRPr="00476D6C">
        <w:rPr>
          <w:color w:val="000000" w:themeColor="text1"/>
        </w:rPr>
        <w:tab/>
      </w:r>
      <w:r w:rsidR="00D744EC" w:rsidRPr="00476D6C">
        <w:rPr>
          <w:color w:val="000000" w:themeColor="text1"/>
        </w:rPr>
        <w:t xml:space="preserve">the equity of the result of the influence including, but not limited to, economic consequence to the vulnerable adult, any divergence from the vulnerable adult’s prior intent or course of 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w:t>
      </w:r>
      <w:r w:rsidR="004D7180">
        <w:rPr>
          <w:color w:val="000000" w:themeColor="text1"/>
        </w:rPr>
        <w:t>additional evidence of undue influence</w:t>
      </w:r>
      <w:r w:rsidR="00D744EC" w:rsidRPr="00476D6C">
        <w:rPr>
          <w:color w:val="000000" w:themeColor="text1"/>
        </w:rPr>
        <w:t>, is not sufficient to prove undue influence.</w:t>
      </w:r>
      <w:r w:rsidR="00D744EC" w:rsidRPr="00F60CD1">
        <w:rPr>
          <w:color w:val="000000" w:themeColor="text1"/>
          <w:u w:color="000000" w:themeColor="text1"/>
        </w:rPr>
        <w:t>”</w:t>
      </w:r>
    </w:p>
    <w:p w14:paraId="7763598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6DDF0A" w14:textId="33B807F1" w:rsidR="006E3985" w:rsidRPr="00522CE0"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7B55">
        <w:rPr>
          <w:rFonts w:eastAsia="Times New Roman"/>
        </w:rPr>
        <w:t>3</w:t>
      </w:r>
      <w:r>
        <w:rPr>
          <w:rFonts w:eastAsia="Times New Roman"/>
        </w:rPr>
        <w:t>.</w:t>
      </w:r>
      <w:r>
        <w:rPr>
          <w:rFonts w:eastAsia="Times New Roman"/>
        </w:rPr>
        <w:tab/>
        <w:t>This act takes effect upon approval by the Governor.</w:t>
      </w:r>
    </w:p>
    <w:p w14:paraId="516376B3" w14:textId="2B85D2CE" w:rsidR="009809AB" w:rsidRDefault="004C07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43FE305" w14:textId="77777777" w:rsidR="007A7807" w:rsidRDefault="007A7807" w:rsidP="007A7807">
      <w:pPr>
        <w:suppressAutoHyphens/>
        <w:jc w:val="both"/>
        <w:rPr>
          <w:rFonts w:eastAsia="Times New Roman"/>
        </w:rPr>
      </w:pPr>
    </w:p>
    <w:sectPr w:rsidR="007A7807" w:rsidSect="0067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F740" w14:textId="77777777" w:rsidR="005A0E5D" w:rsidRDefault="005A0E5D" w:rsidP="00522CE0">
      <w:r>
        <w:separator/>
      </w:r>
    </w:p>
  </w:endnote>
  <w:endnote w:type="continuationSeparator" w:id="0">
    <w:p w14:paraId="43381053" w14:textId="77777777" w:rsidR="005A0E5D" w:rsidRDefault="005A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1E596D-1A36-45C5-B320-890A57219A27}"/>
    <w:embedBold r:id="rId2" w:fontKey="{A77554E4-D1BA-4337-A3EA-8CBBA8E507AC}"/>
  </w:font>
  <w:font w:name="Calibri">
    <w:panose1 w:val="020F0502020204030204"/>
    <w:charset w:val="00"/>
    <w:family w:val="swiss"/>
    <w:pitch w:val="variable"/>
    <w:sig w:usb0="E4002EFF" w:usb1="C000247B" w:usb2="00000009" w:usb3="00000000" w:csb0="000001FF" w:csb1="00000000"/>
    <w:embedRegular r:id="rId3" w:fontKey="{EC8F3089-4B5C-4A36-9B2F-3687CD314EB4}"/>
    <w:embedBold r:id="rId4" w:fontKey="{5218EA0B-41B5-43B4-95C1-07D3637FEC50}"/>
  </w:font>
  <w:font w:name="Segoe UI">
    <w:panose1 w:val="020B0502040204020203"/>
    <w:charset w:val="00"/>
    <w:family w:val="swiss"/>
    <w:pitch w:val="variable"/>
    <w:sig w:usb0="E4002EFF" w:usb1="C000E47F" w:usb2="00000009" w:usb3="00000000" w:csb0="000001FF" w:csb1="00000000"/>
    <w:embedRegular r:id="rId5" w:fontKey="{32D0E81C-4418-4AAF-AC32-D075E8782CBE}"/>
  </w:font>
  <w:font w:name="Cambria">
    <w:panose1 w:val="02040503050406030204"/>
    <w:charset w:val="00"/>
    <w:family w:val="roman"/>
    <w:pitch w:val="variable"/>
    <w:sig w:usb0="E00006FF" w:usb1="420024FF" w:usb2="02000000" w:usb3="00000000" w:csb0="0000019F" w:csb1="00000000"/>
    <w:embedRegular r:id="rId6" w:fontKey="{6D2E2787-4C3F-41FC-872C-E0F36C0711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FCBD8" w14:textId="520F4DD2" w:rsidR="009809AB" w:rsidRPr="001D0551" w:rsidRDefault="001D0551" w:rsidP="001D0551">
    <w:pPr>
      <w:pStyle w:val="Footer"/>
      <w:tabs>
        <w:tab w:val="clear" w:pos="4680"/>
        <w:tab w:val="clear" w:pos="9360"/>
        <w:tab w:val="center" w:pos="2995"/>
      </w:tabs>
      <w:spacing w:before="120"/>
    </w:pPr>
    <w:r>
      <w:t>[906</w:t>
    </w:r>
    <w:r w:rsidR="00675F19">
      <w:t>-</w:t>
    </w:r>
    <w:r w:rsidR="00675F19">
      <w:fldChar w:fldCharType="begin"/>
    </w:r>
    <w:r w:rsidR="00675F19">
      <w:instrText xml:space="preserve"> PAGE  \* MERGEFORMAT </w:instrText>
    </w:r>
    <w:r w:rsidR="00675F19">
      <w:fldChar w:fldCharType="separate"/>
    </w:r>
    <w:r w:rsidR="007A7807">
      <w:rPr>
        <w:noProof/>
      </w:rPr>
      <w:t>2</w:t>
    </w:r>
    <w:r w:rsidR="00675F19">
      <w:fldChar w:fldCharType="end"/>
    </w:r>
    <w:r w:rsidR="00675F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5A8A4" w14:textId="05766B41" w:rsidR="00675F19" w:rsidRPr="001D0551" w:rsidRDefault="00675F19" w:rsidP="001D0551">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sidR="007A78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6A6EB" w14:textId="77777777" w:rsidR="005A0E5D" w:rsidRDefault="005A0E5D" w:rsidP="00522CE0">
      <w:r>
        <w:separator/>
      </w:r>
    </w:p>
  </w:footnote>
  <w:footnote w:type="continuationSeparator" w:id="0">
    <w:p w14:paraId="211DCDC5" w14:textId="77777777" w:rsidR="005A0E5D" w:rsidRDefault="005A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MNI.KMM.KS"/>
    <w:docVar w:name="CoverAttorneyInitials" w:val="KMM"/>
    <w:docVar w:name="CoverAttorneyLastName" w:val="Moffitt"/>
    <w:docVar w:name="CoverBillType" w:val="b"/>
    <w:docVar w:name="CoverSenator" w:val="KS"/>
    <w:docVar w:name="dvBillNumber" w:val="906"/>
    <w:docVar w:name="dvBillNumberPrefix" w:val="S. "/>
    <w:docVar w:name="dvOriginalBody" w:val="Senate"/>
    <w:docVar w:name="fulldraftpath" w:val="L:\S-RES\KS\043OMNI.KMM.KS.DOCX"/>
    <w:docVar w:name="NameofBody" w:val="S"/>
    <w:docVar w:name="vgroup2" w:val="S-RES"/>
  </w:docVars>
  <w:rsids>
    <w:rsidRoot w:val="006E3985"/>
    <w:rsid w:val="000139F2"/>
    <w:rsid w:val="00042AC1"/>
    <w:rsid w:val="00046516"/>
    <w:rsid w:val="00072458"/>
    <w:rsid w:val="0007601D"/>
    <w:rsid w:val="000B0720"/>
    <w:rsid w:val="000B5EAF"/>
    <w:rsid w:val="000E2FDD"/>
    <w:rsid w:val="001315B2"/>
    <w:rsid w:val="00170561"/>
    <w:rsid w:val="00174988"/>
    <w:rsid w:val="00186AC9"/>
    <w:rsid w:val="00197DF1"/>
    <w:rsid w:val="001B3DD9"/>
    <w:rsid w:val="001B7E5D"/>
    <w:rsid w:val="001D0551"/>
    <w:rsid w:val="001D3BAC"/>
    <w:rsid w:val="00216025"/>
    <w:rsid w:val="00245C4E"/>
    <w:rsid w:val="002C1321"/>
    <w:rsid w:val="002C2031"/>
    <w:rsid w:val="002C5896"/>
    <w:rsid w:val="002D3BED"/>
    <w:rsid w:val="002D4BCD"/>
    <w:rsid w:val="002F0FF5"/>
    <w:rsid w:val="00307C2B"/>
    <w:rsid w:val="00315D04"/>
    <w:rsid w:val="00383247"/>
    <w:rsid w:val="003D6E2B"/>
    <w:rsid w:val="003E7597"/>
    <w:rsid w:val="004067A2"/>
    <w:rsid w:val="00413BE5"/>
    <w:rsid w:val="00413EBF"/>
    <w:rsid w:val="00437215"/>
    <w:rsid w:val="0044020F"/>
    <w:rsid w:val="00450668"/>
    <w:rsid w:val="00454138"/>
    <w:rsid w:val="00476D6C"/>
    <w:rsid w:val="004813A2"/>
    <w:rsid w:val="004952FA"/>
    <w:rsid w:val="004B6A22"/>
    <w:rsid w:val="004C07D3"/>
    <w:rsid w:val="004D7180"/>
    <w:rsid w:val="004D7F37"/>
    <w:rsid w:val="00522CE0"/>
    <w:rsid w:val="00540BAD"/>
    <w:rsid w:val="00541951"/>
    <w:rsid w:val="00565148"/>
    <w:rsid w:val="00570403"/>
    <w:rsid w:val="00577450"/>
    <w:rsid w:val="00593361"/>
    <w:rsid w:val="005A0E5D"/>
    <w:rsid w:val="005A413B"/>
    <w:rsid w:val="005A5017"/>
    <w:rsid w:val="005A648C"/>
    <w:rsid w:val="005F07AC"/>
    <w:rsid w:val="005F1745"/>
    <w:rsid w:val="005F40AF"/>
    <w:rsid w:val="00675F19"/>
    <w:rsid w:val="006A1802"/>
    <w:rsid w:val="006C0CBB"/>
    <w:rsid w:val="006C74EA"/>
    <w:rsid w:val="006D7B55"/>
    <w:rsid w:val="006E3985"/>
    <w:rsid w:val="006F56CF"/>
    <w:rsid w:val="00720D40"/>
    <w:rsid w:val="007318D4"/>
    <w:rsid w:val="00757B03"/>
    <w:rsid w:val="00765784"/>
    <w:rsid w:val="007A4390"/>
    <w:rsid w:val="007A7807"/>
    <w:rsid w:val="007E5CB7"/>
    <w:rsid w:val="008314D2"/>
    <w:rsid w:val="00843B6B"/>
    <w:rsid w:val="00870F6F"/>
    <w:rsid w:val="008B2F42"/>
    <w:rsid w:val="008C3697"/>
    <w:rsid w:val="008E185F"/>
    <w:rsid w:val="008F023B"/>
    <w:rsid w:val="008F4A17"/>
    <w:rsid w:val="00904E16"/>
    <w:rsid w:val="009162B3"/>
    <w:rsid w:val="00927C62"/>
    <w:rsid w:val="009809AB"/>
    <w:rsid w:val="00983951"/>
    <w:rsid w:val="00984124"/>
    <w:rsid w:val="00984640"/>
    <w:rsid w:val="00995C37"/>
    <w:rsid w:val="009A0002"/>
    <w:rsid w:val="009C118A"/>
    <w:rsid w:val="00A02011"/>
    <w:rsid w:val="00A4011E"/>
    <w:rsid w:val="00A86015"/>
    <w:rsid w:val="00A9594E"/>
    <w:rsid w:val="00AA1704"/>
    <w:rsid w:val="00AE59C8"/>
    <w:rsid w:val="00B10098"/>
    <w:rsid w:val="00B379FE"/>
    <w:rsid w:val="00B5790D"/>
    <w:rsid w:val="00B945C5"/>
    <w:rsid w:val="00BA20EA"/>
    <w:rsid w:val="00BB5AFC"/>
    <w:rsid w:val="00BC026E"/>
    <w:rsid w:val="00BC0A56"/>
    <w:rsid w:val="00C45366"/>
    <w:rsid w:val="00C57023"/>
    <w:rsid w:val="00C74052"/>
    <w:rsid w:val="00CB187A"/>
    <w:rsid w:val="00CB28D3"/>
    <w:rsid w:val="00CC0EC7"/>
    <w:rsid w:val="00CC251A"/>
    <w:rsid w:val="00CF2C98"/>
    <w:rsid w:val="00D1088B"/>
    <w:rsid w:val="00D1286F"/>
    <w:rsid w:val="00D14DE6"/>
    <w:rsid w:val="00D156D2"/>
    <w:rsid w:val="00D34BE6"/>
    <w:rsid w:val="00D35486"/>
    <w:rsid w:val="00D53E29"/>
    <w:rsid w:val="00D744EC"/>
    <w:rsid w:val="00D86943"/>
    <w:rsid w:val="00DA3C6B"/>
    <w:rsid w:val="00DA47B9"/>
    <w:rsid w:val="00DE5635"/>
    <w:rsid w:val="00E058D3"/>
    <w:rsid w:val="00E12CA0"/>
    <w:rsid w:val="00E2236D"/>
    <w:rsid w:val="00E76AD9"/>
    <w:rsid w:val="00E86EE2"/>
    <w:rsid w:val="00E91E2F"/>
    <w:rsid w:val="00EA3546"/>
    <w:rsid w:val="00EB47AE"/>
    <w:rsid w:val="00EC34E1"/>
    <w:rsid w:val="00EF35FC"/>
    <w:rsid w:val="00F0234A"/>
    <w:rsid w:val="00F04604"/>
    <w:rsid w:val="00F05CF2"/>
    <w:rsid w:val="00F51241"/>
    <w:rsid w:val="00F52959"/>
    <w:rsid w:val="00F549C3"/>
    <w:rsid w:val="00F55884"/>
    <w:rsid w:val="00FB7F01"/>
    <w:rsid w:val="00FC0D36"/>
    <w:rsid w:val="00FC3A2B"/>
    <w:rsid w:val="00FD60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C1C7FB"/>
  <w15:docId w15:val="{4305A6FB-D672-45D0-8CFC-C697DAE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002"/>
    <w:rPr>
      <w:rFonts w:ascii="Segoe UI" w:hAnsi="Segoe UI" w:cs="Segoe UI"/>
      <w:sz w:val="18"/>
      <w:szCs w:val="18"/>
    </w:rPr>
  </w:style>
  <w:style w:type="character" w:styleId="CommentReference">
    <w:name w:val="annotation reference"/>
    <w:basedOn w:val="DefaultParagraphFont"/>
    <w:uiPriority w:val="99"/>
    <w:semiHidden/>
    <w:unhideWhenUsed/>
    <w:rsid w:val="009A0002"/>
    <w:rPr>
      <w:sz w:val="16"/>
      <w:szCs w:val="16"/>
    </w:rPr>
  </w:style>
  <w:style w:type="paragraph" w:styleId="CommentText">
    <w:name w:val="annotation text"/>
    <w:basedOn w:val="Normal"/>
    <w:link w:val="CommentTextChar"/>
    <w:uiPriority w:val="99"/>
    <w:semiHidden/>
    <w:unhideWhenUsed/>
    <w:rsid w:val="009A0002"/>
    <w:rPr>
      <w:sz w:val="20"/>
      <w:szCs w:val="20"/>
    </w:rPr>
  </w:style>
  <w:style w:type="character" w:customStyle="1" w:styleId="CommentTextChar">
    <w:name w:val="Comment Text Char"/>
    <w:basedOn w:val="DefaultParagraphFont"/>
    <w:link w:val="CommentText"/>
    <w:uiPriority w:val="99"/>
    <w:semiHidden/>
    <w:rsid w:val="009A0002"/>
    <w:rPr>
      <w:sz w:val="20"/>
      <w:szCs w:val="20"/>
    </w:rPr>
  </w:style>
  <w:style w:type="paragraph" w:styleId="CommentSubject">
    <w:name w:val="annotation subject"/>
    <w:basedOn w:val="CommentText"/>
    <w:next w:val="CommentText"/>
    <w:link w:val="CommentSubjectChar"/>
    <w:uiPriority w:val="99"/>
    <w:semiHidden/>
    <w:unhideWhenUsed/>
    <w:rsid w:val="009A0002"/>
    <w:rPr>
      <w:b/>
      <w:bCs/>
    </w:rPr>
  </w:style>
  <w:style w:type="character" w:customStyle="1" w:styleId="CommentSubjectChar">
    <w:name w:val="Comment Subject Char"/>
    <w:basedOn w:val="CommentTextChar"/>
    <w:link w:val="CommentSubject"/>
    <w:uiPriority w:val="99"/>
    <w:semiHidden/>
    <w:rsid w:val="009A0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962</Words>
  <Characters>5121</Characters>
  <Application>Microsoft Office Word</Application>
  <DocSecurity>0</DocSecurity>
  <Lines>145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906 Text of Previous Version (Mar. 28, 2022) - South Carolina Legislature Online</dc:title>
  <dc:subject/>
  <dc:creator>Hannah Warner</dc:creator>
  <cp:keywords/>
  <dc:description/>
  <cp:lastModifiedBy>Danny Crook</cp:lastModifiedBy>
  <cp:revision>2</cp:revision>
  <dcterms:created xsi:type="dcterms:W3CDTF">2022-03-28T15:43:00Z</dcterms:created>
  <dcterms:modified xsi:type="dcterms:W3CDTF">2022-03-28T15:43:00Z</dcterms:modified>
</cp:coreProperties>
</file>