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2E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There is established and created in the State Treasury a fund separate and distinct from the general fund of the State and all other funds entitled the ‘Veterans Service Organization Burial Honor Guard Support Fund.</w:t>
      </w:r>
      <w:r>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of Veterans’ Affairs or his representative. Earnings on this fund must be credited to it, and a balance in the fund at the end of a fiscal </w:t>
      </w:r>
      <w:r w:rsidRPr="00205A48">
        <w:rPr>
          <w:color w:val="000000" w:themeColor="text1"/>
          <w:sz w:val="22"/>
          <w:szCs w:val="27"/>
          <w:u w:color="000000" w:themeColor="text1"/>
        </w:rPr>
        <w:lastRenderedPageBreak/>
        <w:t>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t>(B)</w:t>
      </w:r>
      <w:r>
        <w:rPr>
          <w:rFonts w:eastAsia="Times New Roman"/>
        </w:rPr>
        <w:tab/>
      </w:r>
      <w:r w:rsidRPr="00205A48">
        <w:rPr>
          <w:color w:val="000000" w:themeColor="text1"/>
          <w:szCs w:val="27"/>
          <w:u w:color="000000" w:themeColor="text1"/>
        </w:rPr>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not exceeding one hundred dollars per funeral, for the purposes described in this section. Pursuant to his au</w:t>
      </w:r>
      <w:r>
        <w:rPr>
          <w:color w:val="000000" w:themeColor="text1"/>
          <w:szCs w:val="27"/>
          <w:u w:color="000000" w:themeColor="text1"/>
        </w:rPr>
        <w:t xml:space="preserve">thority provided for in Section </w:t>
      </w:r>
      <w:r w:rsidRPr="00205A48">
        <w:rPr>
          <w:color w:val="000000" w:themeColor="text1"/>
          <w:szCs w:val="27"/>
          <w:u w:color="000000" w:themeColor="text1"/>
        </w:rPr>
        <w:t>25</w:t>
      </w:r>
      <w:r w:rsidR="00073896">
        <w:rPr>
          <w:color w:val="000000" w:themeColor="text1"/>
          <w:szCs w:val="27"/>
          <w:u w:color="000000" w:themeColor="text1"/>
        </w:rPr>
        <w:noBreakHyphen/>
      </w:r>
      <w:r w:rsidRPr="00205A48">
        <w:rPr>
          <w:color w:val="000000" w:themeColor="text1"/>
          <w:szCs w:val="27"/>
          <w:u w:color="000000" w:themeColor="text1"/>
        </w:rPr>
        <w:t>11</w:t>
      </w:r>
      <w:r w:rsidR="00073896">
        <w:rPr>
          <w:color w:val="000000" w:themeColor="text1"/>
          <w:szCs w:val="27"/>
          <w:u w:color="000000" w:themeColor="text1"/>
        </w:rPr>
        <w:noBreakHyphen/>
      </w:r>
      <w:r w:rsidRPr="00205A48">
        <w:rPr>
          <w:color w:val="000000" w:themeColor="text1"/>
          <w:szCs w:val="27"/>
          <w:u w:color="000000" w:themeColor="text1"/>
        </w:rPr>
        <w:t>20(D), the Secretary of the Department of Veterans’ Affairs may promulgate regulations necessary to implement the provisions of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141B" w:rsidRDefault="006C141B" w:rsidP="006C141B">
      <w:pPr>
        <w:suppressAutoHyphens/>
        <w:jc w:val="both"/>
        <w:rPr>
          <w:rFonts w:eastAsia="Times New Roman"/>
        </w:rPr>
      </w:pPr>
    </w:p>
    <w:sectPr w:rsidR="006C141B" w:rsidSect="006C14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E42" w:rsidRDefault="006A2E42" w:rsidP="00522CE0">
      <w:r>
        <w:separator/>
      </w:r>
    </w:p>
  </w:endnote>
  <w:endnote w:type="continuationSeparator" w:id="0">
    <w:p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CC2967-4174-4B78-9D00-ACC7F5F88D85}"/>
    <w:embedBold r:id="rId2" w:fontKey="{D06138B3-1618-4B05-8852-DCD439EA268B}"/>
  </w:font>
  <w:font w:name="Calibri">
    <w:panose1 w:val="020F0502020204030204"/>
    <w:charset w:val="00"/>
    <w:family w:val="swiss"/>
    <w:pitch w:val="variable"/>
    <w:sig w:usb0="E4002EFF" w:usb1="C000247B" w:usb2="00000009" w:usb3="00000000" w:csb0="000001FF" w:csb1="00000000"/>
    <w:embedRegular r:id="rId3" w:fontKey="{3CC8C105-13A9-499F-89F5-5162436B2AC3}"/>
  </w:font>
  <w:font w:name="Segoe UI">
    <w:panose1 w:val="020B0502040204020203"/>
    <w:charset w:val="00"/>
    <w:family w:val="swiss"/>
    <w:pitch w:val="variable"/>
    <w:sig w:usb0="E4002EFF" w:usb1="C000E47F" w:usb2="00000009" w:usb3="00000000" w:csb0="000001FF" w:csb1="00000000"/>
    <w:embedRegular r:id="rId4" w:fontKey="{86FFA070-94F1-4C78-ADFC-1F8F71EFA7D7}"/>
  </w:font>
  <w:font w:name="Cambria">
    <w:panose1 w:val="02040503050406030204"/>
    <w:charset w:val="00"/>
    <w:family w:val="roman"/>
    <w:pitch w:val="variable"/>
    <w:sig w:usb0="E00006FF" w:usb1="420024FF" w:usb2="02000000" w:usb3="00000000" w:csb0="0000019F" w:csb1="00000000"/>
    <w:embedRegular r:id="rId5" w:fontKey="{6E7256AE-3733-400D-852F-501B8D2D6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E00" w:rsidRPr="006C141B" w:rsidRDefault="006C141B"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E42" w:rsidRDefault="006A2E42" w:rsidP="00522CE0">
      <w:r>
        <w:separator/>
      </w:r>
    </w:p>
  </w:footnote>
  <w:footnote w:type="continuationSeparator" w:id="0">
    <w:p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72458"/>
    <w:rsid w:val="00073896"/>
    <w:rsid w:val="0007601D"/>
    <w:rsid w:val="000806D6"/>
    <w:rsid w:val="000B0720"/>
    <w:rsid w:val="000B5EAF"/>
    <w:rsid w:val="001313C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731C"/>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7C62"/>
    <w:rsid w:val="00976B33"/>
    <w:rsid w:val="00983951"/>
    <w:rsid w:val="00984124"/>
    <w:rsid w:val="00984640"/>
    <w:rsid w:val="00995C37"/>
    <w:rsid w:val="009C118A"/>
    <w:rsid w:val="00A02011"/>
    <w:rsid w:val="00A4011E"/>
    <w:rsid w:val="00A86015"/>
    <w:rsid w:val="00A9594E"/>
    <w:rsid w:val="00AD54D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549</Words>
  <Characters>2857</Characters>
  <Application>Microsoft Office Word</Application>
  <DocSecurity>0</DocSecurity>
  <Lines>76</Lines>
  <Paragraphs>16</Paragraphs>
  <ScaleCrop>false</ScaleCrop>
  <Company>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(Jan. 12, 2022) - South Carolina Legislature Online</dc:title>
  <dc:subject/>
  <dc:creator>Victoria Chandler</dc:creator>
  <cp:keywords/>
  <dc:description/>
  <cp:lastModifiedBy>S Wilson</cp:lastModifiedBy>
  <cp:revision>2</cp:revision>
  <dcterms:created xsi:type="dcterms:W3CDTF">2022-01-12T18:19:00Z</dcterms:created>
  <dcterms:modified xsi:type="dcterms:W3CDTF">2022-01-12T18:19:00Z</dcterms:modified>
</cp:coreProperties>
</file>