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Pope and Guffey</w:t>
      </w:r>
    </w:p>
    <w:p>
      <w:pPr>
        <w:widowControl w:val="false"/>
        <w:spacing w:after="0"/>
        <w:jc w:val="left"/>
      </w:pPr>
      <w:r>
        <w:rPr>
          <w:rFonts w:ascii="Times New Roman"/>
          <w:sz w:val="22"/>
        </w:rPr>
        <w:t xml:space="preserve">Document Path: LC-0255DG24.docx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PARD grants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9e1caaa1d2f454d">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8e7dbc6f9fbc45bd">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854a70f7c744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4b5d128ff64af5">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7F0E" w14:paraId="40FEFADA" w14:textId="086F89CD">
          <w:pPr>
            <w:pStyle w:val="scbilltitle"/>
            <w:tabs>
              <w:tab w:val="left" w:pos="2104"/>
            </w:tabs>
          </w:pPr>
          <w:r>
            <w:t>TO AMEND THE SOUTH CAROLINA CODE OF LAWS BY AMENDING SECTION 12‑21‑4200, RELATING TO THE DISBURSEMENT OF BINGO</w:t>
          </w:r>
          <w:r w:rsidR="004F67CD">
            <w:t xml:space="preserve"> tax</w:t>
          </w:r>
          <w:r>
            <w:t xml:space="preserve"> REVENUES, SO AS TO INCREASE THE PERCENTAGE THAT IS CREDITED</w:t>
          </w:r>
          <w:r w:rsidR="00FB4E04">
            <w:t xml:space="preserve"> to the</w:t>
          </w:r>
          <w:r>
            <w:t xml:space="preserve"> PARKS AND RECREATION DEVELOPMENT FUND AND DECREASE THE PERCENTAGE CREDITED TO THE GENERAL FUND; AND BY AMENDING SECTION 51‑23‑20, RELATING TO ALLOCATION OF PROCEEDS OF THE PARKS AND RECREATION FUND, SO AS TO INCREASE THE AMOUNT THAT MUST BE CREDITED TO EACH COUNTY.</w:t>
          </w:r>
        </w:p>
      </w:sdtContent>
    </w:sdt>
    <w:bookmarkStart w:name="at_efc0253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aabadbc8" w:id="1"/>
      <w:r w:rsidRPr="0094541D">
        <w:t>B</w:t>
      </w:r>
      <w:bookmarkEnd w:id="1"/>
      <w:r w:rsidRPr="0094541D">
        <w:t>e it enacted by the General Assembly of the State of South Carolina:</w:t>
      </w:r>
    </w:p>
    <w:p w:rsidR="00707862" w:rsidP="00707862" w:rsidRDefault="00707862" w14:paraId="3DFC0A14" w14:textId="77777777">
      <w:pPr>
        <w:pStyle w:val="scemptyline"/>
      </w:pPr>
    </w:p>
    <w:p w:rsidR="00707862" w:rsidP="00707862" w:rsidRDefault="00707862" w14:paraId="48428420" w14:textId="04753557">
      <w:pPr>
        <w:pStyle w:val="scdirectionallanguage"/>
      </w:pPr>
      <w:bookmarkStart w:name="bs_num_1_e96680209" w:id="2"/>
      <w:r>
        <w:t>S</w:t>
      </w:r>
      <w:bookmarkEnd w:id="2"/>
      <w:r>
        <w:t>ECTION 1.</w:t>
      </w:r>
      <w:r>
        <w:tab/>
      </w:r>
      <w:bookmarkStart w:name="dl_139dec836" w:id="3"/>
      <w:r>
        <w:t>S</w:t>
      </w:r>
      <w:bookmarkEnd w:id="3"/>
      <w:r>
        <w:t>ection 12‑21‑4200(2) and (3) of the S.C. Code is amended to read:</w:t>
      </w:r>
    </w:p>
    <w:p w:rsidR="00707862" w:rsidP="00707862" w:rsidRDefault="00707862" w14:paraId="6168AAC6" w14:textId="77777777">
      <w:pPr>
        <w:pStyle w:val="scemptyline"/>
      </w:pPr>
    </w:p>
    <w:p w:rsidR="00707862" w:rsidP="00707862" w:rsidRDefault="00707862" w14:paraId="1BAE631B" w14:textId="41C92E3F">
      <w:pPr>
        <w:pStyle w:val="sccodifiedsection"/>
      </w:pPr>
      <w:bookmarkStart w:name="cs_T12C21N4200_a650ccfaf" w:id="4"/>
      <w:r>
        <w:tab/>
      </w:r>
      <w:bookmarkStart w:name="ss_T12C21N4200S2_lv1_4574856b7" w:id="5"/>
      <w:bookmarkEnd w:id="4"/>
      <w:r>
        <w:t>(</w:t>
      </w:r>
      <w:bookmarkEnd w:id="5"/>
      <w:r>
        <w:t xml:space="preserve">2) </w:t>
      </w:r>
      <w:r>
        <w:rPr>
          <w:rStyle w:val="scstrike"/>
        </w:rPr>
        <w:t>Twenty and eight‑tenths</w:t>
      </w:r>
      <w:r>
        <w:t xml:space="preserve"> </w:t>
      </w:r>
      <w:r>
        <w:rPr>
          <w:rStyle w:val="scinsert"/>
        </w:rPr>
        <w:t xml:space="preserve">Forty‑one and six‑tenths </w:t>
      </w:r>
      <w:r>
        <w:t>percent of the annual revenue derived from the provisions of Section 12‑21‑4190(2), or two and one‑half</w:t>
      </w:r>
      <w:r w:rsidR="004F67CD">
        <w:t xml:space="preserve"> </w:t>
      </w:r>
      <w:r>
        <w:t>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51‑23‑30. Fund proceeds must be distributed as provided in Chapter 23 of Title 51.</w:t>
      </w:r>
    </w:p>
    <w:p w:rsidR="00707862" w:rsidP="00707862" w:rsidRDefault="00707862" w14:paraId="7ECD06C9" w14:textId="1D0D700E">
      <w:pPr>
        <w:pStyle w:val="sccodifiedsection"/>
      </w:pPr>
      <w:r>
        <w:tab/>
      </w:r>
      <w:bookmarkStart w:name="ss_T12C21N4200S3_lv1_684f57065" w:id="6"/>
      <w:r>
        <w:t>(</w:t>
      </w:r>
      <w:bookmarkEnd w:id="6"/>
      <w:r>
        <w:t xml:space="preserve">3) Subject to the distribution in item (2), </w:t>
      </w:r>
      <w:r>
        <w:rPr>
          <w:rStyle w:val="scstrike"/>
        </w:rPr>
        <w:t>seventy‑two and fifteen one‑hundredths</w:t>
      </w:r>
      <w:r>
        <w:t xml:space="preserve"> </w:t>
      </w:r>
      <w:r>
        <w:rPr>
          <w:rStyle w:val="scinsert"/>
        </w:rPr>
        <w:t xml:space="preserve">fifty‑one and thirty‑five one‑hundredths </w:t>
      </w:r>
      <w:r>
        <w:t>percent of the annual revenue derived from the provisions of Section 12‑21‑4190(2) must be deposited with the State Treasurer and credited to the general fund, except that the first one hundred thirty‑one thousand of such revenues each year must be transferred to the Commission on Minority Affairs.</w:t>
      </w:r>
    </w:p>
    <w:p w:rsidR="00707862" w:rsidP="00707862" w:rsidRDefault="00707862" w14:paraId="0416052D" w14:textId="77777777">
      <w:pPr>
        <w:pStyle w:val="scemptyline"/>
      </w:pPr>
    </w:p>
    <w:p w:rsidR="00707862" w:rsidP="00707862" w:rsidRDefault="00707862" w14:paraId="74649C04" w14:textId="10065069">
      <w:pPr>
        <w:pStyle w:val="scdirectionallanguage"/>
      </w:pPr>
      <w:bookmarkStart w:name="bs_num_2_6e0b72bd2" w:id="7"/>
      <w:r>
        <w:t>S</w:t>
      </w:r>
      <w:bookmarkEnd w:id="7"/>
      <w:r>
        <w:t>ECTION 2.</w:t>
      </w:r>
      <w:r>
        <w:tab/>
      </w:r>
      <w:bookmarkStart w:name="dl_ea287b3b3" w:id="8"/>
      <w:r>
        <w:t>S</w:t>
      </w:r>
      <w:bookmarkEnd w:id="8"/>
      <w:r>
        <w:t>ection 51‑23‑20(1) of the S.C. Code is amended to read:</w:t>
      </w:r>
    </w:p>
    <w:p w:rsidR="00707862" w:rsidP="00707862" w:rsidRDefault="00707862" w14:paraId="7DB2C0EB" w14:textId="77777777">
      <w:pPr>
        <w:pStyle w:val="scemptyline"/>
      </w:pPr>
    </w:p>
    <w:p w:rsidR="00707862" w:rsidP="00707862" w:rsidRDefault="00707862" w14:paraId="04EC621C" w14:textId="45030FC8">
      <w:pPr>
        <w:pStyle w:val="sccodifiedsection"/>
      </w:pPr>
      <w:bookmarkStart w:name="cs_T51C23N20_666ebb117" w:id="9"/>
      <w:r>
        <w:tab/>
      </w:r>
      <w:bookmarkStart w:name="ss_T51C23N20S1_lv1_428301677" w:id="10"/>
      <w:bookmarkEnd w:id="9"/>
      <w:r>
        <w:t>(</w:t>
      </w:r>
      <w:bookmarkEnd w:id="10"/>
      <w:r>
        <w:t xml:space="preserve">1) </w:t>
      </w:r>
      <w:r>
        <w:rPr>
          <w:rStyle w:val="scstrike"/>
        </w:rPr>
        <w:t xml:space="preserve">Twenty </w:t>
      </w:r>
      <w:r>
        <w:rPr>
          <w:rStyle w:val="scinsert"/>
        </w:rPr>
        <w:t xml:space="preserve"> Thirty </w:t>
      </w:r>
      <w:r>
        <w:t>thousand dollars must be credited to the account of each county area.</w:t>
      </w:r>
    </w:p>
    <w:p w:rsidR="00707862" w:rsidP="00707862" w:rsidRDefault="00707862" w14:paraId="3EAA1307" w14:textId="77777777">
      <w:pPr>
        <w:pStyle w:val="scemptyline"/>
      </w:pPr>
    </w:p>
    <w:p w:rsidR="00707862" w:rsidP="00F17EC7" w:rsidRDefault="00707862" w14:paraId="6E100EF7" w14:textId="7EBF2720">
      <w:pPr>
        <w:pStyle w:val="scnoncodifiedsection"/>
      </w:pPr>
      <w:bookmarkStart w:name="bs_num_3_5f0360cfd" w:id="11"/>
      <w:bookmarkStart w:name="eff_date_section_b995dd64f" w:id="12"/>
      <w:r>
        <w:t>S</w:t>
      </w:r>
      <w:bookmarkEnd w:id="11"/>
      <w:r>
        <w:t>ECTION 3.</w:t>
      </w:r>
      <w:r>
        <w:tab/>
      </w:r>
      <w:bookmarkEnd w:id="12"/>
      <w:r w:rsidRPr="002B3B60" w:rsidR="00F17EC7">
        <w:t xml:space="preserve">This act takes effect on </w:t>
      </w:r>
      <w:r w:rsidR="002749D8">
        <w:t>July 1, 2024</w:t>
      </w:r>
      <w:r w:rsidR="00F17EC7">
        <w:t>.</w:t>
      </w:r>
    </w:p>
    <w:p w:rsidRPr="00DF3B44" w:rsidR="005516F6" w:rsidP="009E4191" w:rsidRDefault="007A10F1" w14:paraId="7389F665" w14:textId="1DA8C165">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0E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6C3577" w:rsidR="00685035" w:rsidRPr="007B4AF7" w:rsidRDefault="00B422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7862">
              <w:rPr>
                <w:noProof/>
              </w:rPr>
              <w:t>LC-0255DG24.docx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E29"/>
    <w:rsid w:val="000610B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4A1"/>
    <w:rsid w:val="002114C8"/>
    <w:rsid w:val="0021166F"/>
    <w:rsid w:val="002162DF"/>
    <w:rsid w:val="00230038"/>
    <w:rsid w:val="00233975"/>
    <w:rsid w:val="00236D73"/>
    <w:rsid w:val="00257F60"/>
    <w:rsid w:val="002625EA"/>
    <w:rsid w:val="00264AE9"/>
    <w:rsid w:val="002749D8"/>
    <w:rsid w:val="00275AE6"/>
    <w:rsid w:val="002836D8"/>
    <w:rsid w:val="0028422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17D"/>
    <w:rsid w:val="003A5F1C"/>
    <w:rsid w:val="003C3E2E"/>
    <w:rsid w:val="003D4A3C"/>
    <w:rsid w:val="003D55B2"/>
    <w:rsid w:val="003E0033"/>
    <w:rsid w:val="003E5452"/>
    <w:rsid w:val="003E7165"/>
    <w:rsid w:val="003E7FF6"/>
    <w:rsid w:val="004044C7"/>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7CD"/>
    <w:rsid w:val="005002ED"/>
    <w:rsid w:val="00500DBC"/>
    <w:rsid w:val="005102BE"/>
    <w:rsid w:val="00523F7F"/>
    <w:rsid w:val="00524D54"/>
    <w:rsid w:val="0054531B"/>
    <w:rsid w:val="00546C24"/>
    <w:rsid w:val="005476FF"/>
    <w:rsid w:val="005516F6"/>
    <w:rsid w:val="00552842"/>
    <w:rsid w:val="00554E89"/>
    <w:rsid w:val="00563B5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862"/>
    <w:rsid w:val="00711AA9"/>
    <w:rsid w:val="00722155"/>
    <w:rsid w:val="00737F19"/>
    <w:rsid w:val="00782BF8"/>
    <w:rsid w:val="00783C75"/>
    <w:rsid w:val="007849D9"/>
    <w:rsid w:val="00787433"/>
    <w:rsid w:val="007A10F1"/>
    <w:rsid w:val="007A3D50"/>
    <w:rsid w:val="007A7F0E"/>
    <w:rsid w:val="007B2D29"/>
    <w:rsid w:val="007B412F"/>
    <w:rsid w:val="007B4AF7"/>
    <w:rsid w:val="007B4DBF"/>
    <w:rsid w:val="007C5458"/>
    <w:rsid w:val="007D2C67"/>
    <w:rsid w:val="007E06BB"/>
    <w:rsid w:val="007F50D1"/>
    <w:rsid w:val="00816D52"/>
    <w:rsid w:val="00820ACA"/>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C7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CB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97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2F74"/>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17EC7"/>
    <w:rsid w:val="00F22EC0"/>
    <w:rsid w:val="00F27D7B"/>
    <w:rsid w:val="00F31D34"/>
    <w:rsid w:val="00F342A1"/>
    <w:rsid w:val="00F36FBA"/>
    <w:rsid w:val="00F44D36"/>
    <w:rsid w:val="00F44F05"/>
    <w:rsid w:val="00F46262"/>
    <w:rsid w:val="00F4795D"/>
    <w:rsid w:val="00F50A61"/>
    <w:rsid w:val="00F525CD"/>
    <w:rsid w:val="00F5286C"/>
    <w:rsid w:val="00F52E12"/>
    <w:rsid w:val="00F638CA"/>
    <w:rsid w:val="00F900B4"/>
    <w:rsid w:val="00FA0F2E"/>
    <w:rsid w:val="00FA4DB1"/>
    <w:rsid w:val="00FB3F2A"/>
    <w:rsid w:val="00FB4E0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0786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9&amp;session=125&amp;summary=B" TargetMode="External" Id="Rc8854a70f7c7445b" /><Relationship Type="http://schemas.openxmlformats.org/officeDocument/2006/relationships/hyperlink" Target="https://www.scstatehouse.gov/sess125_2023-2024/prever/4599_20231116.docx" TargetMode="External" Id="Rf64b5d128ff64af5" /><Relationship Type="http://schemas.openxmlformats.org/officeDocument/2006/relationships/hyperlink" Target="h:\hj\20240109.docx" TargetMode="External" Id="R99e1caaa1d2f454d" /><Relationship Type="http://schemas.openxmlformats.org/officeDocument/2006/relationships/hyperlink" Target="h:\hj\20240109.docx" TargetMode="External" Id="R8e7dbc6f9fbc45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54c2dcaf-fedf-4a01-8db2-9d58b2f4496a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bbecb340-9beb-4683-a4ca-d0e3b5741c50</T_BILL_REQUEST_REQUEST>
  <T_BILL_R_ORIGINALDRAFT>ea884a76-c672-4885-ab8f-20b7b8542f82</T_BILL_R_ORIGINALDRAFT>
  <T_BILL_SPONSOR_SPONSOR>f949017d-22cd-47f8-8851-cea9e714f6a6</T_BILL_SPONSOR_SPONSOR>
  <T_BILL_T_BILLNAME>[4599]</T_BILL_T_BILLNAME>
  <T_BILL_T_BILLNUMBER>4599</T_BILL_T_BILLNUMBER>
  <T_BILL_T_BILLTITLE>TO AMEND THE SOUTH CAROLINA CODE OF LAWS BY AMENDING SECTION 12‑21‑4200, RELATING TO THE DISBURSEMENT OF BINGO tax REVENUES, SO AS TO INCREASE THE PERCENTAGE THAT IS CREDITED to the PARKS AND RECREATION DEVELOPMENT FUND AND DECREASE THE PERCENTAGE CREDITED TO THE GENERAL FUND; AND BY AMENDING SECTION 51‑23‑20, RELATING TO ALLOCATION OF PROCEEDS OF THE PARKS AND RECREATION FUND, SO AS TO INCREASE THE AMOUNT THAT MUST BE CREDITED TO EACH COUNTY.</T_BILL_T_BILLTITLE>
  <T_BILL_T_CHAMBER>house</T_BILL_T_CHAMBER>
  <T_BILL_T_FILENAME> </T_BILL_T_FILENAME>
  <T_BILL_T_LEGTYPE>bill_statewide</T_BILL_T_LEGTYPE>
  <T_BILL_T_SECTIONS>[{"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4574856b7","IsNewSubSection":false,"SubSectionReplacement":""},{"Level":1,"Identity":"T12C21N4200S3","SubSectionBookmarkName":"ss_T12C21N4200S3_lv1_684f57065","IsNewSubSection":false,"SubSectionReplacement":""}],"TitleRelatedTo":"the Disbursement of bingo revenues","TitleSoAsTo":"increase the percentage that is credited parks and recreation development fund and decrease the percentage credited to the general fund","Deleted":false}],"TitleText":"","DisableControls":true,"Deleted":false,"RepealItems":[],"SectionBookmarkName":"bs_num_1_e96680209"},{"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428301677","IsNewSubSection":false,"SubSectionReplacement":""}],"TitleRelatedTo":"Allocation of proceeds of the Parks and Recreation Fund","TitleSoAsTo":"increase the amount that must be credited to each county","Deleted":false}],"TitleText":"","DisableControls":false,"Deleted":false,"RepealItems":[],"SectionBookmarkName":"bs_num_2_6e0b72bd2"},{"SectionUUID":"325273cd-d3da-4e48-bd51-022223cac58f","SectionName":"Effective Date - With Specific Date","SectionNumber":3,"SectionType":"drafting_clause","CodeSections":[],"TitleText":"","DisableControls":false,"Deleted":false,"RepealItems":[],"SectionBookmarkName":"bs_num_3_5f0360cfd"}]</T_BILL_T_SECTIONS>
  <T_BILL_T_SECTIONSHISTORY>[{"Id":3,"SectionsList":[{"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Disbursement of revenues.","TitleSoAsTo":"","Deleted":false}],"TitleText":"","DisableControls":true,"Deleted":false,"RepealItems":[],"SectionBookmarkName":"bs_num_1_e96680209"},{"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09b24b63e","IsNewSubSection":false,"SubSectionReplacement":""}],"TitleRelatedTo":"Allocation of proceeds of Parks and Recreation Fund.","TitleSoAsTo":"","Deleted":false}],"TitleText":"","DisableControls":false,"Deleted":false,"RepealItems":[],"SectionBookmarkName":"bs_num_2_6e0b72bd2"},{"SectionUUID":"325273cd-d3da-4e48-bd51-022223cac58f","SectionName":"Effective Date - With Specific Date","SectionNumber":3,"SectionType":"drafting_clause","CodeSections":[],"TitleText":"","DisableControls":false,"Deleted":false,"RepealItems":[],"SectionBookmarkName":"bs_num_3_5f0360cfd"}],"Timestamp":"2023-07-24T10:43:30.6851567-04:00","Username":null},{"Id":2,"SectionsList":[{"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Disbursement of revenues.","TitleSoAsTo":"","Deleted":false}],"TitleText":"","DisableControls":true,"Deleted":false,"RepealItems":[],"SectionBookmarkName":"bs_num_1_e96680209"},{"SectionUUID":"8f03ca95-8faa-4d43-a9c2-8afc498075bd","SectionName":"standard_eff_date_section","SectionNumber":3,"SectionType":"drafting_clause","CodeSections":[],"TitleText":"","DisableControls":false,"Deleted":false,"RepealItems":[],"SectionBookmarkName":"bs_num_3_lastsection"},{"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09b24b63e","IsNewSubSection":false,"SubSectionReplacement":""}],"TitleRelatedTo":"Allocation of proceeds of Parks and Recreation Fund.","TitleSoAsTo":"","Deleted":false}],"TitleText":"","DisableControls":false,"Deleted":false,"RepealItems":[],"SectionBookmarkName":"bs_num_2_6e0b72bd2"}],"Timestamp":"2023-07-24T10:42:55.244281-04:00","Username":null},{"Id":1,"SectionsList":[{"SectionUUID":"8f03ca95-8faa-4d43-a9c2-8afc498075bd","SectionName":"standard_eff_date_section","SectionNumber":2,"SectionType":"drafting_clause","CodeSections":[],"TitleText":"","DisableControls":false,"Deleted":false,"RepealItems":[],"SectionBookmarkName":"bs_num_2_lastsection"},{"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Disbursement of revenues.","TitleSoAsTo":"","Deleted":false}],"TitleText":"","DisableControls":true,"Deleted":false,"RepealItems":[],"SectionBookmarkName":"bs_num_1_e96680209"}],"Timestamp":"2023-07-24T10:35:55.8579345-04:00","Username":null},{"Id":4,"SectionsList":[{"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the Disbursement of bingo revenues","TitleSoAsTo":"increase the percentage that is credited parks and recreation development fund and decrease the percentage credited to the general fund","Deleted":false}],"TitleText":"","DisableControls":true,"Deleted":false,"RepealItems":[],"SectionBookmarkName":"bs_num_1_e96680209"},{"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09b24b63e","IsNewSubSection":false,"SubSectionReplacement":""}],"TitleRelatedTo":"Allocation of proceeds of the Parks and Recreation Fund","TitleSoAsTo":"increase the amount that must be credited to each county","Deleted":false}],"TitleText":"","DisableControls":false,"Deleted":false,"RepealItems":[],"SectionBookmarkName":"bs_num_2_6e0b72bd2"},{"SectionUUID":"325273cd-d3da-4e48-bd51-022223cac58f","SectionName":"Effective Date - With Specific Date","SectionNumber":3,"SectionType":"drafting_clause","CodeSections":[],"TitleText":"","DisableControls":false,"Deleted":false,"RepealItems":[],"SectionBookmarkName":"bs_num_3_5f0360cfd"}],"Timestamp":"2023-07-24T10:45:51.0939415-04:00","Username":"davidgood@scstatehouse.gov"}]</T_BILL_T_SECTIONSHISTORY>
  <T_BILL_T_SUBJECT>PARD grants</T_BILL_T_SUBJECT>
  <T_BILL_UR_DRAFTER>davidgood@scstatehouse.gov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1720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2023-11-09T16:00:00Z</dcterms:created>
  <dcterms:modified xsi:type="dcterms:W3CDTF">2023-11-09T16:00:00Z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