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SR-0154KM25.docx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Safety belts, evidence admissibility in civil action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3e6ba778dd5c411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Judiciary</w:t>
      </w:r>
      <w:r>
        <w:t xml:space="preserve"> (</w:t>
      </w:r>
      <w:hyperlink w:history="true" r:id="R6da5bab3924c4084">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1ec59d4f404f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abc4a0ad894f9a">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6D1E" w14:paraId="40FEFADA" w14:textId="61C82CE8">
          <w:pPr>
            <w:pStyle w:val="scbilltitle"/>
          </w:pPr>
          <w:r>
            <w:t>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w:t>
          </w:r>
        </w:p>
      </w:sdtContent>
    </w:sdt>
    <w:bookmarkStart w:name="at_62cde015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7ce4ed0" w:id="2"/>
      <w:r w:rsidRPr="0094541D">
        <w:t>B</w:t>
      </w:r>
      <w:bookmarkEnd w:id="2"/>
      <w:r w:rsidRPr="0094541D">
        <w:t>e it enacted by the General Assembly of the State of South Carolina:</w:t>
      </w:r>
    </w:p>
    <w:p w:rsidR="00C56268" w:rsidP="00C56268" w:rsidRDefault="00C56268" w14:paraId="18A1D93E" w14:textId="77777777">
      <w:pPr>
        <w:pStyle w:val="scemptyline"/>
      </w:pPr>
    </w:p>
    <w:p w:rsidR="00C56268" w:rsidP="00C56268" w:rsidRDefault="00C56268" w14:paraId="6C9CDD0D" w14:textId="77777777">
      <w:pPr>
        <w:pStyle w:val="scdirectionallanguage"/>
      </w:pPr>
      <w:bookmarkStart w:name="bs_num_1_023a2ebc6" w:id="3"/>
      <w:r>
        <w:t>S</w:t>
      </w:r>
      <w:bookmarkEnd w:id="3"/>
      <w:r>
        <w:t>ECTION 1.</w:t>
      </w:r>
      <w:r>
        <w:tab/>
      </w:r>
      <w:bookmarkStart w:name="dl_8d56001cb" w:id="4"/>
      <w:r>
        <w:t>S</w:t>
      </w:r>
      <w:bookmarkEnd w:id="4"/>
      <w:r>
        <w:t>ection 56‑5‑6540 of the S.C. Code is amended to read:</w:t>
      </w:r>
    </w:p>
    <w:p w:rsidR="00C56268" w:rsidP="00C56268" w:rsidRDefault="00C56268" w14:paraId="1CB814A5" w14:textId="77777777">
      <w:pPr>
        <w:pStyle w:val="sccodifiedsection"/>
      </w:pPr>
    </w:p>
    <w:p w:rsidR="00C56268" w:rsidP="00C56268" w:rsidRDefault="00C56268" w14:paraId="7FBEFF34" w14:textId="77777777">
      <w:pPr>
        <w:pStyle w:val="sccodifiedsection"/>
      </w:pPr>
      <w:r>
        <w:tab/>
      </w:r>
      <w:bookmarkStart w:name="cs_T56C5N6540_1de6743cf" w:id="5"/>
      <w:r>
        <w:t>S</w:t>
      </w:r>
      <w:bookmarkEnd w:id="5"/>
      <w:r>
        <w:t>ection 56‑5‑6540.</w:t>
      </w:r>
      <w:r>
        <w:tab/>
      </w:r>
      <w:bookmarkStart w:name="ss_T56C5N6540SA_lv1_ddb315e47" w:id="6"/>
      <w:r>
        <w:t>(</w:t>
      </w:r>
      <w:bookmarkEnd w:id="6"/>
      <w:r>
        <w:t>A) A person who is adjudicated to be in violation of the provisions of this article must be fined not more than twenty‑five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56‑1‑640, a violation of this article must not be:</w:t>
      </w:r>
    </w:p>
    <w:p w:rsidR="00C56268" w:rsidP="00C56268" w:rsidRDefault="00C56268" w14:paraId="19D68B00" w14:textId="77777777">
      <w:pPr>
        <w:pStyle w:val="sccodifiedsection"/>
      </w:pPr>
      <w:r>
        <w:tab/>
      </w:r>
      <w:r>
        <w:tab/>
      </w:r>
      <w:bookmarkStart w:name="ss_T56C5N6540S1_lv2_607d6538d" w:id="7"/>
      <w:r>
        <w:t>(</w:t>
      </w:r>
      <w:bookmarkEnd w:id="7"/>
      <w:r>
        <w:t>1) included in the offender's motor vehicle records maintained by the Department of Motor Vehicles or in the criminal records maintained by SLED;  or</w:t>
      </w:r>
    </w:p>
    <w:p w:rsidR="00C56268" w:rsidP="00C56268" w:rsidRDefault="00C56268" w14:paraId="36518D9F" w14:textId="77777777">
      <w:pPr>
        <w:pStyle w:val="sccodifiedsection"/>
      </w:pPr>
      <w:r>
        <w:tab/>
      </w:r>
      <w:r>
        <w:tab/>
      </w:r>
      <w:bookmarkStart w:name="ss_T56C5N6540S2_lv2_a2105eae7" w:id="8"/>
      <w:r>
        <w:t>(</w:t>
      </w:r>
      <w:bookmarkEnd w:id="8"/>
      <w:r>
        <w:t>2) reported to the offender's motor vehicle insurer.</w:t>
      </w:r>
    </w:p>
    <w:p w:rsidR="00C56268" w:rsidP="00C56268" w:rsidRDefault="00C56268" w14:paraId="2DD95EB6" w14:textId="77777777">
      <w:pPr>
        <w:pStyle w:val="sccodifiedsection"/>
      </w:pPr>
      <w:r>
        <w:tab/>
      </w:r>
      <w:bookmarkStart w:name="ss_T56C5N6540SB_lv1_fe8a4f09d" w:id="9"/>
      <w:r>
        <w:t>(</w:t>
      </w:r>
      <w:bookmarkEnd w:id="9"/>
      <w:r>
        <w:t>B) A law enforcement officer must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C56268" w:rsidDel="000E6D1E" w:rsidP="00C56268" w:rsidRDefault="00C56268" w14:paraId="07BD8D35" w14:textId="23935A29">
      <w:pPr>
        <w:pStyle w:val="sccodifiedsection"/>
      </w:pPr>
      <w:r>
        <w:rPr>
          <w:rStyle w:val="scstrike"/>
        </w:rPr>
        <w:tab/>
        <w:t>(C) A violation of this article is not negligence per se or contributory negligence, and is not admissible as evidence in a civil action.</w:t>
      </w:r>
    </w:p>
    <w:p w:rsidR="00C56268" w:rsidP="00C56268" w:rsidRDefault="00C56268" w14:paraId="3B20B2C5" w14:textId="37D91C8D">
      <w:pPr>
        <w:pStyle w:val="sccodifiedsection"/>
      </w:pPr>
      <w:r>
        <w:tab/>
      </w:r>
      <w:r>
        <w:rPr>
          <w:rStyle w:val="scstrike"/>
        </w:rPr>
        <w:t>(D)</w:t>
      </w:r>
      <w:bookmarkStart w:name="ss_T56C5N6540SC_lv1_21ca50855" w:id="10"/>
      <w:r w:rsidR="000E6D1E">
        <w:rPr>
          <w:rStyle w:val="scinsert"/>
        </w:rPr>
        <w:t>(</w:t>
      </w:r>
      <w:bookmarkEnd w:id="10"/>
      <w:r w:rsidR="000E6D1E">
        <w:rPr>
          <w:rStyle w:val="scinsert"/>
        </w:rPr>
        <w:t>C)</w:t>
      </w:r>
      <w:r>
        <w:t xml:space="preserve"> A vehicle, driver, or occupant in a vehicle must not be searched, nor may consent to search </w:t>
      </w:r>
      <w:r>
        <w:lastRenderedPageBreak/>
        <w:t>be requested by a law enforcement officer, solely because of a violation of this article.</w:t>
      </w:r>
    </w:p>
    <w:p w:rsidR="00C56268" w:rsidP="00C56268" w:rsidRDefault="00C56268" w14:paraId="009795ED" w14:textId="534A64D4">
      <w:pPr>
        <w:pStyle w:val="sccodifiedsection"/>
      </w:pPr>
      <w:r>
        <w:tab/>
      </w:r>
      <w:r>
        <w:rPr>
          <w:rStyle w:val="scstrike"/>
        </w:rPr>
        <w:t>(E)</w:t>
      </w:r>
      <w:bookmarkStart w:name="ss_T56C5N6540SD_lv1_df2217712" w:id="11"/>
      <w:r w:rsidR="000E6D1E">
        <w:rPr>
          <w:rStyle w:val="scinsert"/>
        </w:rPr>
        <w:t>(</w:t>
      </w:r>
      <w:bookmarkEnd w:id="11"/>
      <w:r w:rsidR="000E6D1E">
        <w:rPr>
          <w:rStyle w:val="scinsert"/>
        </w:rPr>
        <w:t>D)</w:t>
      </w:r>
      <w:r>
        <w:t xml:space="preserv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C56268" w:rsidP="00C56268" w:rsidRDefault="00C56268" w14:paraId="2479AEFB" w14:textId="0416CBAF">
      <w:pPr>
        <w:pStyle w:val="sccodifiedsection"/>
      </w:pPr>
      <w:r>
        <w:tab/>
      </w:r>
      <w:r>
        <w:rPr>
          <w:rStyle w:val="scstrike"/>
        </w:rPr>
        <w:t>(F)</w:t>
      </w:r>
      <w:bookmarkStart w:name="ss_T56C5N6540SE_lv1_26f39c0b3" w:id="12"/>
      <w:r w:rsidR="000E6D1E">
        <w:rPr>
          <w:rStyle w:val="scinsert"/>
        </w:rPr>
        <w:t>(</w:t>
      </w:r>
      <w:bookmarkEnd w:id="12"/>
      <w:r w:rsidR="000E6D1E">
        <w:rPr>
          <w:rStyle w:val="scinsert"/>
        </w:rPr>
        <w:t>E)</w:t>
      </w:r>
      <w:r>
        <w:t xml:space="preserve">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w:t>
      </w:r>
      <w:r w:rsidR="000E6D1E">
        <w:rPr>
          <w:rStyle w:val="scinsert"/>
        </w:rPr>
        <w:t xml:space="preserve">then </w:t>
      </w:r>
      <w:r>
        <w:t xml:space="preserve">the penalty is a civil fine pursuant to </w:t>
      </w:r>
      <w:r>
        <w:rPr>
          <w:rStyle w:val="scstrike"/>
        </w:rPr>
        <w:t>Section 56‑5‑6540</w:t>
      </w:r>
      <w:r w:rsidR="000E6D1E">
        <w:rPr>
          <w:rStyle w:val="scinsert"/>
        </w:rPr>
        <w:t>this section</w:t>
      </w:r>
      <w:r>
        <w:t xml:space="preserve">.  If the trier of fact determines that the State has failed to prove beyond a reasonable doubt that the person was not wearing a safety belt, </w:t>
      </w:r>
      <w:r w:rsidR="000E6D1E">
        <w:rPr>
          <w:rStyle w:val="scinsert"/>
        </w:rPr>
        <w:t xml:space="preserve">then </w:t>
      </w:r>
      <w:r>
        <w:t>no penalty shall be assessed.</w:t>
      </w:r>
    </w:p>
    <w:p w:rsidR="00C56268" w:rsidP="00C56268" w:rsidRDefault="00C56268" w14:paraId="720C0CE7" w14:textId="68357CF8">
      <w:pPr>
        <w:pStyle w:val="sccodifiedsection"/>
      </w:pPr>
      <w:r>
        <w:tab/>
      </w:r>
      <w:r>
        <w:rPr>
          <w:rStyle w:val="scstrike"/>
        </w:rPr>
        <w:t>(G)</w:t>
      </w:r>
      <w:bookmarkStart w:name="ss_T56C5N6540SF_lv1_2fc647863" w:id="13"/>
      <w:r w:rsidR="000E6D1E">
        <w:rPr>
          <w:rStyle w:val="scinsert"/>
        </w:rPr>
        <w:t>(</w:t>
      </w:r>
      <w:bookmarkEnd w:id="13"/>
      <w:r w:rsidR="000E6D1E">
        <w:rPr>
          <w:rStyle w:val="scinsert"/>
        </w:rPr>
        <w:t>F)</w:t>
      </w:r>
      <w:r>
        <w:t xml:space="preserve"> A person found to be in violation of this article may bring an appeal to the court of common pleas pursuant to Section 18‑3‑10 or Section 14‑25‑95.</w:t>
      </w:r>
    </w:p>
    <w:p w:rsidRPr="00DF3B44" w:rsidR="007E06BB" w:rsidP="00787433" w:rsidRDefault="007E06BB" w14:paraId="3D8F1FED" w14:textId="1417D9D2">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22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2BEBD5" w:rsidR="00685035" w:rsidRPr="007B4AF7" w:rsidRDefault="002320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54A6">
              <w:rPr>
                <w:noProof/>
              </w:rPr>
              <w:t>SR-0154KM25.docx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D63"/>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6D1E"/>
    <w:rsid w:val="000F2250"/>
    <w:rsid w:val="0010329A"/>
    <w:rsid w:val="00105756"/>
    <w:rsid w:val="001164F9"/>
    <w:rsid w:val="0011719C"/>
    <w:rsid w:val="00133DAB"/>
    <w:rsid w:val="00140049"/>
    <w:rsid w:val="00171601"/>
    <w:rsid w:val="001730EB"/>
    <w:rsid w:val="00173276"/>
    <w:rsid w:val="00176122"/>
    <w:rsid w:val="0019025B"/>
    <w:rsid w:val="001922DB"/>
    <w:rsid w:val="00192AF7"/>
    <w:rsid w:val="00197366"/>
    <w:rsid w:val="001A136C"/>
    <w:rsid w:val="001B6DA2"/>
    <w:rsid w:val="001C25EC"/>
    <w:rsid w:val="001D1818"/>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314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4A6"/>
    <w:rsid w:val="003A5F1C"/>
    <w:rsid w:val="003C3E2E"/>
    <w:rsid w:val="003D3B6F"/>
    <w:rsid w:val="003D4A3C"/>
    <w:rsid w:val="003D55B2"/>
    <w:rsid w:val="003E0033"/>
    <w:rsid w:val="003E5452"/>
    <w:rsid w:val="003E7165"/>
    <w:rsid w:val="003E7FF6"/>
    <w:rsid w:val="004046B5"/>
    <w:rsid w:val="00406F27"/>
    <w:rsid w:val="004141B8"/>
    <w:rsid w:val="004203B9"/>
    <w:rsid w:val="0042053B"/>
    <w:rsid w:val="00432135"/>
    <w:rsid w:val="00446987"/>
    <w:rsid w:val="00446D28"/>
    <w:rsid w:val="00463F77"/>
    <w:rsid w:val="00466CD0"/>
    <w:rsid w:val="00473583"/>
    <w:rsid w:val="00477F32"/>
    <w:rsid w:val="00481850"/>
    <w:rsid w:val="00484A4A"/>
    <w:rsid w:val="004851A0"/>
    <w:rsid w:val="0048627F"/>
    <w:rsid w:val="004932AB"/>
    <w:rsid w:val="00494BEF"/>
    <w:rsid w:val="00494D60"/>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174B"/>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ECF"/>
    <w:rsid w:val="006213A8"/>
    <w:rsid w:val="00623BEA"/>
    <w:rsid w:val="006347E9"/>
    <w:rsid w:val="00640C87"/>
    <w:rsid w:val="006454BB"/>
    <w:rsid w:val="00657CF4"/>
    <w:rsid w:val="00661463"/>
    <w:rsid w:val="00663B8D"/>
    <w:rsid w:val="00663E00"/>
    <w:rsid w:val="00664F48"/>
    <w:rsid w:val="00664FAD"/>
    <w:rsid w:val="00667D96"/>
    <w:rsid w:val="0067345B"/>
    <w:rsid w:val="00683986"/>
    <w:rsid w:val="00685035"/>
    <w:rsid w:val="00685770"/>
    <w:rsid w:val="00690DBA"/>
    <w:rsid w:val="006964F9"/>
    <w:rsid w:val="006A395F"/>
    <w:rsid w:val="006A65E2"/>
    <w:rsid w:val="006B265A"/>
    <w:rsid w:val="006B37BD"/>
    <w:rsid w:val="006C092D"/>
    <w:rsid w:val="006C099D"/>
    <w:rsid w:val="006C18F0"/>
    <w:rsid w:val="006C436B"/>
    <w:rsid w:val="006C7E01"/>
    <w:rsid w:val="006D64A5"/>
    <w:rsid w:val="006E0935"/>
    <w:rsid w:val="006E353F"/>
    <w:rsid w:val="006E35AB"/>
    <w:rsid w:val="00711AA9"/>
    <w:rsid w:val="00712BF2"/>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690"/>
    <w:rsid w:val="00807A87"/>
    <w:rsid w:val="00816D52"/>
    <w:rsid w:val="008271D0"/>
    <w:rsid w:val="00831048"/>
    <w:rsid w:val="00834272"/>
    <w:rsid w:val="008625C1"/>
    <w:rsid w:val="0087671D"/>
    <w:rsid w:val="008806F9"/>
    <w:rsid w:val="00887957"/>
    <w:rsid w:val="008A57E3"/>
    <w:rsid w:val="008B5BF4"/>
    <w:rsid w:val="008C0CEE"/>
    <w:rsid w:val="008C1B18"/>
    <w:rsid w:val="008C2A84"/>
    <w:rsid w:val="008C430F"/>
    <w:rsid w:val="008C5D51"/>
    <w:rsid w:val="008D46EC"/>
    <w:rsid w:val="008D526B"/>
    <w:rsid w:val="008E02C1"/>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45A"/>
    <w:rsid w:val="009A0DCE"/>
    <w:rsid w:val="009A22CD"/>
    <w:rsid w:val="009A3E4B"/>
    <w:rsid w:val="009A6C76"/>
    <w:rsid w:val="009B1A3C"/>
    <w:rsid w:val="009B35FD"/>
    <w:rsid w:val="009B6815"/>
    <w:rsid w:val="009D2967"/>
    <w:rsid w:val="009D3C2B"/>
    <w:rsid w:val="009E4191"/>
    <w:rsid w:val="009F2AB1"/>
    <w:rsid w:val="009F4FAF"/>
    <w:rsid w:val="009F68F1"/>
    <w:rsid w:val="00A04529"/>
    <w:rsid w:val="00A0584B"/>
    <w:rsid w:val="00A17135"/>
    <w:rsid w:val="00A21A6F"/>
    <w:rsid w:val="00A21F0F"/>
    <w:rsid w:val="00A24E56"/>
    <w:rsid w:val="00A26A62"/>
    <w:rsid w:val="00A35A9B"/>
    <w:rsid w:val="00A4070E"/>
    <w:rsid w:val="00A40CA0"/>
    <w:rsid w:val="00A504A7"/>
    <w:rsid w:val="00A52FA2"/>
    <w:rsid w:val="00A53677"/>
    <w:rsid w:val="00A53BF2"/>
    <w:rsid w:val="00A60D68"/>
    <w:rsid w:val="00A61FBE"/>
    <w:rsid w:val="00A73EFA"/>
    <w:rsid w:val="00A77A3B"/>
    <w:rsid w:val="00A92F6F"/>
    <w:rsid w:val="00A97523"/>
    <w:rsid w:val="00AA7824"/>
    <w:rsid w:val="00AB0FA3"/>
    <w:rsid w:val="00AB73BF"/>
    <w:rsid w:val="00AC1CD4"/>
    <w:rsid w:val="00AC335C"/>
    <w:rsid w:val="00AC463E"/>
    <w:rsid w:val="00AD3BE2"/>
    <w:rsid w:val="00AD3E3D"/>
    <w:rsid w:val="00AE1EE4"/>
    <w:rsid w:val="00AE36EC"/>
    <w:rsid w:val="00AE7406"/>
    <w:rsid w:val="00AF13AC"/>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BD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7C41"/>
    <w:rsid w:val="00C543E7"/>
    <w:rsid w:val="00C56268"/>
    <w:rsid w:val="00C70225"/>
    <w:rsid w:val="00C72198"/>
    <w:rsid w:val="00C73C7D"/>
    <w:rsid w:val="00C75005"/>
    <w:rsid w:val="00C93B57"/>
    <w:rsid w:val="00C970DF"/>
    <w:rsid w:val="00CA1F52"/>
    <w:rsid w:val="00CA7E71"/>
    <w:rsid w:val="00CB0A54"/>
    <w:rsid w:val="00CB2673"/>
    <w:rsid w:val="00CB701D"/>
    <w:rsid w:val="00CC3F0E"/>
    <w:rsid w:val="00CD08C9"/>
    <w:rsid w:val="00CD1FE8"/>
    <w:rsid w:val="00CD38CD"/>
    <w:rsid w:val="00CD3E0C"/>
    <w:rsid w:val="00CD5565"/>
    <w:rsid w:val="00CD616C"/>
    <w:rsid w:val="00CF68D6"/>
    <w:rsid w:val="00CF7B4A"/>
    <w:rsid w:val="00D009F8"/>
    <w:rsid w:val="00D078DA"/>
    <w:rsid w:val="00D1325E"/>
    <w:rsid w:val="00D14995"/>
    <w:rsid w:val="00D204F2"/>
    <w:rsid w:val="00D2455C"/>
    <w:rsid w:val="00D25023"/>
    <w:rsid w:val="00D27F8C"/>
    <w:rsid w:val="00D33843"/>
    <w:rsid w:val="00D54A6F"/>
    <w:rsid w:val="00D57D57"/>
    <w:rsid w:val="00D607C5"/>
    <w:rsid w:val="00D62E42"/>
    <w:rsid w:val="00D772FB"/>
    <w:rsid w:val="00D90F29"/>
    <w:rsid w:val="00DA1AA0"/>
    <w:rsid w:val="00DA512B"/>
    <w:rsid w:val="00DC44A8"/>
    <w:rsid w:val="00DE4BEE"/>
    <w:rsid w:val="00DE5B3D"/>
    <w:rsid w:val="00DE7112"/>
    <w:rsid w:val="00DF19BE"/>
    <w:rsid w:val="00DF3B44"/>
    <w:rsid w:val="00E1372E"/>
    <w:rsid w:val="00E14E34"/>
    <w:rsid w:val="00E21D30"/>
    <w:rsid w:val="00E24D9A"/>
    <w:rsid w:val="00E27805"/>
    <w:rsid w:val="00E27A11"/>
    <w:rsid w:val="00E30497"/>
    <w:rsid w:val="00E34E80"/>
    <w:rsid w:val="00E358A2"/>
    <w:rsid w:val="00E35C9A"/>
    <w:rsid w:val="00E3771B"/>
    <w:rsid w:val="00E40979"/>
    <w:rsid w:val="00E43F26"/>
    <w:rsid w:val="00E52A36"/>
    <w:rsid w:val="00E6378B"/>
    <w:rsid w:val="00E63EC3"/>
    <w:rsid w:val="00E653DA"/>
    <w:rsid w:val="00E65958"/>
    <w:rsid w:val="00E822D6"/>
    <w:rsid w:val="00E84FE5"/>
    <w:rsid w:val="00E879A5"/>
    <w:rsid w:val="00E879FC"/>
    <w:rsid w:val="00EA2574"/>
    <w:rsid w:val="00EA2F1F"/>
    <w:rsid w:val="00EA3F2E"/>
    <w:rsid w:val="00EA57EC"/>
    <w:rsid w:val="00EA6208"/>
    <w:rsid w:val="00EB120E"/>
    <w:rsid w:val="00EB34C8"/>
    <w:rsid w:val="00EB46E2"/>
    <w:rsid w:val="00EC0045"/>
    <w:rsid w:val="00ED3496"/>
    <w:rsid w:val="00ED452E"/>
    <w:rsid w:val="00EE3CDA"/>
    <w:rsid w:val="00EF1228"/>
    <w:rsid w:val="00EF37A8"/>
    <w:rsid w:val="00EF531F"/>
    <w:rsid w:val="00F00756"/>
    <w:rsid w:val="00F0153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177A"/>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F13AC"/>
    <w:rPr>
      <w:rFonts w:ascii="Times New Roman" w:hAnsi="Times New Roman"/>
      <w:b w:val="0"/>
      <w:i w:val="0"/>
      <w:sz w:val="22"/>
    </w:rPr>
  </w:style>
  <w:style w:type="paragraph" w:styleId="NoSpacing">
    <w:name w:val="No Spacing"/>
    <w:uiPriority w:val="1"/>
    <w:qFormat/>
    <w:rsid w:val="00AF13AC"/>
    <w:pPr>
      <w:spacing w:after="0" w:line="240" w:lineRule="auto"/>
    </w:pPr>
  </w:style>
  <w:style w:type="paragraph" w:customStyle="1" w:styleId="scemptylineheader">
    <w:name w:val="sc_emptyline_header"/>
    <w:qFormat/>
    <w:rsid w:val="00AF13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13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13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13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13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13AC"/>
    <w:rPr>
      <w:color w:val="808080"/>
    </w:rPr>
  </w:style>
  <w:style w:type="paragraph" w:customStyle="1" w:styleId="scdirectionallanguage">
    <w:name w:val="sc_directional_language"/>
    <w:qFormat/>
    <w:rsid w:val="00AF13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13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13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13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13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13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13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13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13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13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13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13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13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13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3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13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13AC"/>
    <w:rPr>
      <w:rFonts w:ascii="Times New Roman" w:hAnsi="Times New Roman"/>
      <w:color w:val="auto"/>
      <w:sz w:val="22"/>
    </w:rPr>
  </w:style>
  <w:style w:type="paragraph" w:customStyle="1" w:styleId="scclippagebillheader">
    <w:name w:val="sc_clip_page_bill_header"/>
    <w:qFormat/>
    <w:rsid w:val="00AF13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13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13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1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3AC"/>
    <w:rPr>
      <w:lang w:val="en-US"/>
    </w:rPr>
  </w:style>
  <w:style w:type="paragraph" w:styleId="Footer">
    <w:name w:val="footer"/>
    <w:basedOn w:val="Normal"/>
    <w:link w:val="FooterChar"/>
    <w:uiPriority w:val="99"/>
    <w:unhideWhenUsed/>
    <w:rsid w:val="00AF1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3AC"/>
    <w:rPr>
      <w:lang w:val="en-US"/>
    </w:rPr>
  </w:style>
  <w:style w:type="paragraph" w:styleId="ListParagraph">
    <w:name w:val="List Paragraph"/>
    <w:basedOn w:val="Normal"/>
    <w:uiPriority w:val="34"/>
    <w:qFormat/>
    <w:rsid w:val="00AF13AC"/>
    <w:pPr>
      <w:ind w:left="720"/>
      <w:contextualSpacing/>
    </w:pPr>
  </w:style>
  <w:style w:type="paragraph" w:customStyle="1" w:styleId="scbillfooter">
    <w:name w:val="sc_bill_footer"/>
    <w:qFormat/>
    <w:rsid w:val="00AF13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13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13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13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13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1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13AC"/>
    <w:pPr>
      <w:widowControl w:val="0"/>
      <w:suppressAutoHyphens/>
      <w:spacing w:after="0" w:line="360" w:lineRule="auto"/>
    </w:pPr>
    <w:rPr>
      <w:rFonts w:ascii="Times New Roman" w:hAnsi="Times New Roman"/>
      <w:lang w:val="en-US"/>
    </w:rPr>
  </w:style>
  <w:style w:type="paragraph" w:customStyle="1" w:styleId="sctableln">
    <w:name w:val="sc_table_ln"/>
    <w:qFormat/>
    <w:rsid w:val="00AF13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13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13AC"/>
    <w:rPr>
      <w:strike/>
      <w:dstrike w:val="0"/>
    </w:rPr>
  </w:style>
  <w:style w:type="character" w:customStyle="1" w:styleId="scinsert">
    <w:name w:val="sc_insert"/>
    <w:uiPriority w:val="1"/>
    <w:qFormat/>
    <w:rsid w:val="00AF13AC"/>
    <w:rPr>
      <w:caps w:val="0"/>
      <w:smallCaps w:val="0"/>
      <w:strike w:val="0"/>
      <w:dstrike w:val="0"/>
      <w:vanish w:val="0"/>
      <w:u w:val="single"/>
      <w:vertAlign w:val="baseline"/>
    </w:rPr>
  </w:style>
  <w:style w:type="character" w:customStyle="1" w:styleId="scinsertred">
    <w:name w:val="sc_insert_red"/>
    <w:uiPriority w:val="1"/>
    <w:qFormat/>
    <w:rsid w:val="00AF13AC"/>
    <w:rPr>
      <w:caps w:val="0"/>
      <w:smallCaps w:val="0"/>
      <w:strike w:val="0"/>
      <w:dstrike w:val="0"/>
      <w:vanish w:val="0"/>
      <w:color w:val="FF0000"/>
      <w:u w:val="single"/>
      <w:vertAlign w:val="baseline"/>
    </w:rPr>
  </w:style>
  <w:style w:type="character" w:customStyle="1" w:styleId="scinsertblue">
    <w:name w:val="sc_insert_blue"/>
    <w:uiPriority w:val="1"/>
    <w:qFormat/>
    <w:rsid w:val="00AF13AC"/>
    <w:rPr>
      <w:caps w:val="0"/>
      <w:smallCaps w:val="0"/>
      <w:strike w:val="0"/>
      <w:dstrike w:val="0"/>
      <w:vanish w:val="0"/>
      <w:color w:val="0070C0"/>
      <w:u w:val="single"/>
      <w:vertAlign w:val="baseline"/>
    </w:rPr>
  </w:style>
  <w:style w:type="character" w:customStyle="1" w:styleId="scstrikered">
    <w:name w:val="sc_strike_red"/>
    <w:uiPriority w:val="1"/>
    <w:qFormat/>
    <w:rsid w:val="00AF13AC"/>
    <w:rPr>
      <w:strike/>
      <w:dstrike w:val="0"/>
      <w:color w:val="FF0000"/>
    </w:rPr>
  </w:style>
  <w:style w:type="character" w:customStyle="1" w:styleId="scstrikeblue">
    <w:name w:val="sc_strike_blue"/>
    <w:uiPriority w:val="1"/>
    <w:qFormat/>
    <w:rsid w:val="00AF13AC"/>
    <w:rPr>
      <w:strike/>
      <w:dstrike w:val="0"/>
      <w:color w:val="0070C0"/>
    </w:rPr>
  </w:style>
  <w:style w:type="character" w:customStyle="1" w:styleId="scinsertbluenounderline">
    <w:name w:val="sc_insert_blue_no_underline"/>
    <w:uiPriority w:val="1"/>
    <w:qFormat/>
    <w:rsid w:val="00AF13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13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13AC"/>
    <w:rPr>
      <w:strike/>
      <w:dstrike w:val="0"/>
      <w:color w:val="0070C0"/>
      <w:lang w:val="en-US"/>
    </w:rPr>
  </w:style>
  <w:style w:type="character" w:customStyle="1" w:styleId="scstrikerednoncodified">
    <w:name w:val="sc_strike_red_non_codified"/>
    <w:uiPriority w:val="1"/>
    <w:qFormat/>
    <w:rsid w:val="00AF13AC"/>
    <w:rPr>
      <w:strike/>
      <w:dstrike w:val="0"/>
      <w:color w:val="FF0000"/>
    </w:rPr>
  </w:style>
  <w:style w:type="paragraph" w:customStyle="1" w:styleId="scbillsiglines">
    <w:name w:val="sc_bill_sig_lines"/>
    <w:qFormat/>
    <w:rsid w:val="00AF13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13AC"/>
    <w:rPr>
      <w:bdr w:val="none" w:sz="0" w:space="0" w:color="auto"/>
      <w:shd w:val="clear" w:color="auto" w:fill="FEC6C6"/>
    </w:rPr>
  </w:style>
  <w:style w:type="character" w:customStyle="1" w:styleId="screstoreblue">
    <w:name w:val="sc_restore_blue"/>
    <w:uiPriority w:val="1"/>
    <w:qFormat/>
    <w:rsid w:val="00AF13AC"/>
    <w:rPr>
      <w:color w:val="4472C4" w:themeColor="accent1"/>
      <w:bdr w:val="none" w:sz="0" w:space="0" w:color="auto"/>
      <w:shd w:val="clear" w:color="auto" w:fill="auto"/>
    </w:rPr>
  </w:style>
  <w:style w:type="character" w:customStyle="1" w:styleId="screstorered">
    <w:name w:val="sc_restore_red"/>
    <w:uiPriority w:val="1"/>
    <w:qFormat/>
    <w:rsid w:val="00AF13AC"/>
    <w:rPr>
      <w:color w:val="FF0000"/>
      <w:bdr w:val="none" w:sz="0" w:space="0" w:color="auto"/>
      <w:shd w:val="clear" w:color="auto" w:fill="auto"/>
    </w:rPr>
  </w:style>
  <w:style w:type="character" w:customStyle="1" w:styleId="scstrikenewblue">
    <w:name w:val="sc_strike_new_blue"/>
    <w:uiPriority w:val="1"/>
    <w:qFormat/>
    <w:rsid w:val="00AF13AC"/>
    <w:rPr>
      <w:strike w:val="0"/>
      <w:dstrike/>
      <w:color w:val="0070C0"/>
      <w:u w:val="none"/>
    </w:rPr>
  </w:style>
  <w:style w:type="character" w:customStyle="1" w:styleId="scstrikenewred">
    <w:name w:val="sc_strike_new_red"/>
    <w:uiPriority w:val="1"/>
    <w:qFormat/>
    <w:rsid w:val="00AF13AC"/>
    <w:rPr>
      <w:strike w:val="0"/>
      <w:dstrike/>
      <w:color w:val="FF0000"/>
      <w:u w:val="none"/>
    </w:rPr>
  </w:style>
  <w:style w:type="character" w:customStyle="1" w:styleId="scamendsenate">
    <w:name w:val="sc_amend_senate"/>
    <w:uiPriority w:val="1"/>
    <w:qFormat/>
    <w:rsid w:val="00AF13AC"/>
    <w:rPr>
      <w:bdr w:val="none" w:sz="0" w:space="0" w:color="auto"/>
      <w:shd w:val="clear" w:color="auto" w:fill="FFF2CC" w:themeFill="accent4" w:themeFillTint="33"/>
    </w:rPr>
  </w:style>
  <w:style w:type="character" w:customStyle="1" w:styleId="scamendhouse">
    <w:name w:val="sc_amend_house"/>
    <w:uiPriority w:val="1"/>
    <w:qFormat/>
    <w:rsid w:val="00AF13AC"/>
    <w:rPr>
      <w:bdr w:val="none" w:sz="0" w:space="0" w:color="auto"/>
      <w:shd w:val="clear" w:color="auto" w:fill="E2EFD9" w:themeFill="accent6" w:themeFillTint="33"/>
    </w:rPr>
  </w:style>
  <w:style w:type="paragraph" w:styleId="Revision">
    <w:name w:val="Revision"/>
    <w:hidden/>
    <w:uiPriority w:val="99"/>
    <w:semiHidden/>
    <w:rsid w:val="000E6D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0&amp;session=126&amp;summary=B" TargetMode="External" Id="Rc61ec59d4f404f2b" /><Relationship Type="http://schemas.openxmlformats.org/officeDocument/2006/relationships/hyperlink" Target="https://www.scstatehouse.gov/sess126_2025-2026/prever/280_20250128.docx" TargetMode="External" Id="Rb2abc4a0ad894f9a" /><Relationship Type="http://schemas.openxmlformats.org/officeDocument/2006/relationships/hyperlink" Target="h:\sj\20250128.docx" TargetMode="External" Id="R3e6ba778dd5c4113" /><Relationship Type="http://schemas.openxmlformats.org/officeDocument/2006/relationships/hyperlink" Target="h:\sj\20250128.docx" TargetMode="External" Id="R6da5bab3924c40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07A87"/>
    <w:rsid w:val="008271D0"/>
    <w:rsid w:val="008F7723"/>
    <w:rsid w:val="009031EF"/>
    <w:rsid w:val="00912A5F"/>
    <w:rsid w:val="00940EED"/>
    <w:rsid w:val="00985255"/>
    <w:rsid w:val="009C3651"/>
    <w:rsid w:val="00A51DBA"/>
    <w:rsid w:val="00B20DA6"/>
    <w:rsid w:val="00B457AF"/>
    <w:rsid w:val="00C818FB"/>
    <w:rsid w:val="00CB0A54"/>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731a3a3f-ab63-4f50-9ce0-2e7ae4b3fcb4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8d3ea9ec-590d-40e5-84d4-65ff1a40c16c</T_BILL_REQUEST_REQUEST>
  <T_BILL_R_ORIGINALDRAFT>69f484e5-b80a-4ab3-9d16-10cd2692524e</T_BILL_R_ORIGINALDRAFT>
  <T_BILL_SPONSOR_SPONSOR>c6852c26-5d94-48ee-b772-3b5ac47bc9fa</T_BILL_SPONSOR_SPONSOR>
  <T_BILL_T_BILLNAME>[0280]</T_BILL_T_BILLNAME>
  <T_BILL_T_BILLNUMBER>280</T_BILL_T_BILLNUMBER>
  <T_BILL_T_BILLTITLE>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T_BILL_T_BILLTITLE>
  <T_BILL_T_CHAMBER>senate</T_BILL_T_CHAMBER>
  <T_BILL_T_FILENAME> </T_BILL_T_FILENAME>
  <T_BILL_T_LEGTYPE>bill_statewide</T_BILL_T_LEGTYPE>
  <T_BILL_T_RATNUMBERSTRING>SNone</T_BILL_T_RATNUMBERSTRING>
  <T_BILL_T_SECTIONS>[{"SectionUUID":"68420663-60c9-43c1-a2a0-11f5f8659f44","SectionName":"code_section","SectionNumber":1,"SectionType":"code_section","CodeSections":[{"CodeSectionBookmarkName":"cs_T56C5N6540_1de6743cf","IsConstitutionSection":false,"Identity":"56-5-6540","IsNew":false,"SubSections":[{"Level":1,"Identity":"T56C5N6540SA","SubSectionBookmarkName":"ss_T56C5N6540SA_lv1_ddb315e47","IsNewSubSection":false,"SubSectionReplacement":""},{"Level":1,"Identity":"T56C5N6540SB","SubSectionBookmarkName":"ss_T56C5N6540SB_lv1_fe8a4f09d","IsNewSubSection":false,"SubSectionReplacement":""},{"Level":1,"Identity":"T56C5N6540SC","SubSectionBookmarkName":"ss_T56C5N6540SC_lv1_21ca50855","IsNewSubSection":false,"SubSectionReplacement":""},{"Level":1,"Identity":"T56C5N6540SD","SubSectionBookmarkName":"ss_T56C5N6540SD_lv1_df2217712","IsNewSubSection":false,"SubSectionReplacement":""},{"Level":1,"Identity":"T56C5N6540SE","SubSectionBookmarkName":"ss_T56C5N6540SE_lv1_26f39c0b3","IsNewSubSection":false,"SubSectionReplacement":""},{"Level":1,"Identity":"T56C5N6540SF","SubSectionBookmarkName":"ss_T56C5N6540SF_lv1_2fc647863","IsNewSubSection":false,"SubSectionReplacement":""},{"Level":2,"Identity":"T56C5N6540S1","SubSectionBookmarkName":"ss_T56C5N6540S1_lv2_607d6538d","IsNewSubSection":false,"SubSectionReplacement":""},{"Level":2,"Identity":"T56C5N6540S2","SubSectionBookmarkName":"ss_T56C5N6540S2_lv2_a2105eae7","IsNewSubSection":false,"SubSectionReplacement":""}],"TitleRelatedTo":"THE ADMISSIBILITY AS EVIDENCE OF NEGLIGENCE IN A CIVIL ACTION REGARDING THE USE OF SAFETY BELTS","TitleSoAsTo":"REMOVE THE PROVISION THAT A VIOLATION OF CERTAIN PROVISIONS RELATING TO SAFETY BELTS IS NOT NEGLIGENCE PER SE OR CONTRIBUTORY NEGLIGENCE, AND TO REMOVE THE PROVISION THAT A VIOLATION IS NOT ADMISSIBLE AS EVIDENCE IN A CIVIL ACTION","Deleted":false}],"TitleText":"","DisableControls":false,"Deleted":false,"RepealItems":[],"SectionBookmarkName":"bs_num_1_023a2ebc6"},{"SectionUUID":"8f03ca95-8faa-4d43-a9c2-8afc498075bd","SectionName":"standard_eff_date_section","SectionNumber":2,"SectionType":"drafting_clause","CodeSections":[],"TitleText":"","DisableControls":false,"Deleted":false,"RepealItems":[],"SectionBookmarkName":"bs_num_2_lastsection"}]</T_BILL_T_SECTIONS>
  <T_BILL_T_SUBJECT>Safety belts, evidence admissibility in civil action</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854FF2E-DC3A-4B5F-B744-2B81A14CE6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3000</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2025-01-27T16:01:00Z</dcterms:created>
  <dcterms:modified xsi:type="dcterms:W3CDTF">2025-01-27T16:01:00Z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