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LC-0031SA25.docx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South Carolina Rent Control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971b609862574b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839ae45f3a473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D5165" w:rsidRDefault="00432135" w14:paraId="47642A99" w14:textId="02930007">
      <w:pPr>
        <w:pStyle w:val="scemptylineheader"/>
      </w:pPr>
      <w:bookmarkStart w:name="open_doc_here" w:id="0"/>
      <w:bookmarkEnd w:id="0"/>
    </w:p>
    <w:p w:rsidRPr="00BB0725" w:rsidR="00A73EFA" w:rsidP="00BD5165" w:rsidRDefault="00A73EFA" w14:paraId="7B72410E" w14:textId="5C74B0BB">
      <w:pPr>
        <w:pStyle w:val="scemptylineheader"/>
      </w:pPr>
    </w:p>
    <w:p w:rsidRPr="00BB0725" w:rsidR="00A73EFA" w:rsidP="00BD5165" w:rsidRDefault="00A73EFA" w14:paraId="6AD935C9" w14:textId="03ACEBE1">
      <w:pPr>
        <w:pStyle w:val="scemptylineheader"/>
      </w:pPr>
    </w:p>
    <w:p w:rsidRPr="00DF3B44" w:rsidR="00A73EFA" w:rsidP="00BD5165" w:rsidRDefault="00A73EFA" w14:paraId="51A98227" w14:textId="1BE1B71C">
      <w:pPr>
        <w:pStyle w:val="scemptylineheader"/>
      </w:pPr>
    </w:p>
    <w:p w:rsidRPr="00DF3B44" w:rsidR="00A73EFA" w:rsidP="00BD5165" w:rsidRDefault="00A73EFA" w14:paraId="3858851A" w14:textId="3D3A72A2">
      <w:pPr>
        <w:pStyle w:val="scemptylineheader"/>
      </w:pPr>
    </w:p>
    <w:p w:rsidRPr="00061A5C" w:rsidR="00A73EFA" w:rsidP="00BD5165" w:rsidRDefault="00A73EFA" w14:paraId="4E3DDE20" w14:textId="064C72F1">
      <w:pPr>
        <w:pStyle w:val="scemptylineheader"/>
        <w:rPr>
          <w:lang w:val="it-IT"/>
        </w:rPr>
      </w:pPr>
    </w:p>
    <w:p w:rsidRPr="00061A5C" w:rsidR="002C3463" w:rsidP="00037F04" w:rsidRDefault="002C3463" w14:paraId="1803EF34" w14:textId="5BD12D5F">
      <w:pPr>
        <w:pStyle w:val="scemptylineheader"/>
        <w:rPr>
          <w:lang w:val="it-IT"/>
        </w:rPr>
      </w:pPr>
    </w:p>
    <w:p w:rsidRPr="00061A5C"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155E" w14:paraId="40FEFADA" w14:textId="303B82B0">
          <w:pPr>
            <w:pStyle w:val="scbilltitle"/>
          </w:pPr>
          <w:r>
            <w:t>TO AMEND THE SOUTH CAROLINA CODE OF LAWS BY ENACTING THE “SOUTH CAROLINA RENT CONTROL ACT”</w:t>
          </w:r>
          <w:r w:rsidR="00FA364C">
            <w:t xml:space="preserve"> </w:t>
          </w:r>
          <w:r>
            <w:t>BY ADDING SECTION 27‑39‑370 SO AS TO PROVIDE RESTRICTIONS ON RAISING RESIDENTIAL RENT.</w:t>
          </w:r>
        </w:p>
      </w:sdtContent>
    </w:sdt>
    <w:bookmarkStart w:name="at_ff4206db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4ceac42" w:id="2"/>
      <w:r w:rsidRPr="0094541D">
        <w:t>B</w:t>
      </w:r>
      <w:bookmarkEnd w:id="2"/>
      <w:r w:rsidRPr="0094541D">
        <w:t>e it enacted by the General Assembly of the State of South Carolina:</w:t>
      </w:r>
    </w:p>
    <w:p w:rsidR="00562DDA" w:rsidP="00562DDA" w:rsidRDefault="00562DDA" w14:paraId="2C192EC3" w14:textId="77777777">
      <w:pPr>
        <w:pStyle w:val="scemptyline"/>
      </w:pPr>
    </w:p>
    <w:p w:rsidR="00562DDA" w:rsidP="000068C4" w:rsidRDefault="00562DDA" w14:paraId="3BC90714" w14:textId="0DE2B58A">
      <w:pPr>
        <w:pStyle w:val="scnoncodifiedsection"/>
        <w:tabs>
          <w:tab w:val="left" w:pos="4605"/>
        </w:tabs>
      </w:pPr>
      <w:bookmarkStart w:name="bs_num_1_2d874494b" w:id="3"/>
      <w:bookmarkStart w:name="citing_act_a8ab5f9cf" w:id="4"/>
      <w:r>
        <w:t>S</w:t>
      </w:r>
      <w:bookmarkEnd w:id="3"/>
      <w:r>
        <w:t>ECTION 1.</w:t>
      </w:r>
      <w:r>
        <w:tab/>
      </w:r>
      <w:bookmarkEnd w:id="4"/>
      <w:r w:rsidR="00B470A6">
        <w:rPr>
          <w:shd w:val="clear" w:color="auto" w:fill="FFFFFF"/>
        </w:rPr>
        <w:t>This act may be cited as the “</w:t>
      </w:r>
      <w:r w:rsidR="000068C4">
        <w:rPr>
          <w:shd w:val="clear" w:color="auto" w:fill="FFFFFF"/>
        </w:rPr>
        <w:t>South Carolina Rent Control Act</w:t>
      </w:r>
      <w:r w:rsidR="00D3582A">
        <w:rPr>
          <w:shd w:val="clear" w:color="auto" w:fill="FFFFFF"/>
        </w:rPr>
        <w:t>.</w:t>
      </w:r>
      <w:r w:rsidR="000068C4">
        <w:rPr>
          <w:shd w:val="clear" w:color="auto" w:fill="FFFFFF"/>
        </w:rPr>
        <w:t>”</w:t>
      </w:r>
    </w:p>
    <w:p w:rsidR="000068C4" w:rsidP="000068C4" w:rsidRDefault="000068C4" w14:paraId="501DFE85" w14:textId="77777777">
      <w:pPr>
        <w:pStyle w:val="scemptyline"/>
      </w:pPr>
    </w:p>
    <w:p w:rsidR="007A0F85" w:rsidP="007A0F85" w:rsidRDefault="000068C4" w14:paraId="78FB7CE0" w14:textId="77777777">
      <w:pPr>
        <w:pStyle w:val="scdirectionallanguage"/>
      </w:pPr>
      <w:bookmarkStart w:name="bs_num_2_41bb3e356" w:id="5"/>
      <w:r>
        <w:t>S</w:t>
      </w:r>
      <w:bookmarkEnd w:id="5"/>
      <w:r>
        <w:t>ECTION 2.</w:t>
      </w:r>
      <w:r>
        <w:tab/>
      </w:r>
      <w:bookmarkStart w:name="dl_7f6320f7f" w:id="6"/>
      <w:r w:rsidR="007A0F85">
        <w:t>A</w:t>
      </w:r>
      <w:bookmarkEnd w:id="6"/>
      <w:r w:rsidR="007A0F85">
        <w:t>rticle 3, Chapter 39, Title 27 of the S.C. Code is amended by adding:</w:t>
      </w:r>
    </w:p>
    <w:p w:rsidR="007A0F85" w:rsidP="007A0F85" w:rsidRDefault="007A0F85" w14:paraId="0D720C86" w14:textId="77777777">
      <w:pPr>
        <w:pStyle w:val="scnewcodesection"/>
      </w:pPr>
    </w:p>
    <w:p w:rsidR="00020CB5" w:rsidP="00020CB5" w:rsidRDefault="007A0F85" w14:paraId="6AAF3959" w14:textId="3464C55E">
      <w:pPr>
        <w:pStyle w:val="scnewcodesection"/>
      </w:pPr>
      <w:r>
        <w:tab/>
      </w:r>
      <w:bookmarkStart w:name="ns_T27C39N370_f0e9930de" w:id="7"/>
      <w:r>
        <w:t>S</w:t>
      </w:r>
      <w:bookmarkEnd w:id="7"/>
      <w:r>
        <w:t>ection 27‑39‑370.</w:t>
      </w:r>
      <w:r>
        <w:tab/>
      </w:r>
      <w:bookmarkStart w:name="ss_T27C39N370SA_lv1_64fa28459" w:id="8"/>
      <w:r w:rsidR="00020CB5">
        <w:t>(</w:t>
      </w:r>
      <w:bookmarkEnd w:id="8"/>
      <w:r w:rsidR="00020CB5">
        <w:t>A) If a tenancy is week to week, the landlord may not increase the rent without giving the tenant written notice at least seven days prior to the effective date of the rent increase.</w:t>
      </w:r>
    </w:p>
    <w:p w:rsidR="00020CB5" w:rsidP="00020CB5" w:rsidRDefault="00020CB5" w14:paraId="5F37FC06" w14:textId="77777777">
      <w:pPr>
        <w:pStyle w:val="scnewcodesection"/>
      </w:pPr>
      <w:r>
        <w:tab/>
      </w:r>
      <w:bookmarkStart w:name="ss_T27C39N370SB_lv1_49b849574" w:id="9"/>
      <w:r>
        <w:t>(</w:t>
      </w:r>
      <w:bookmarkEnd w:id="9"/>
      <w:r>
        <w:t>B) During any tenancy other than week to week, the landlord may not increase the rent:</w:t>
      </w:r>
    </w:p>
    <w:p w:rsidR="00020CB5" w:rsidP="00020CB5" w:rsidRDefault="00020CB5" w14:paraId="01CC5337" w14:textId="77777777">
      <w:pPr>
        <w:pStyle w:val="scnewcodesection"/>
      </w:pPr>
      <w:r>
        <w:tab/>
      </w:r>
      <w:r>
        <w:tab/>
      </w:r>
      <w:bookmarkStart w:name="ss_T27C39N370S1_lv2_6544be829" w:id="10"/>
      <w:r>
        <w:t>(</w:t>
      </w:r>
      <w:bookmarkEnd w:id="10"/>
      <w:r>
        <w:t xml:space="preserve">1) during the first year after the tenancy </w:t>
      </w:r>
      <w:proofErr w:type="gramStart"/>
      <w:r>
        <w:t>begins;</w:t>
      </w:r>
      <w:proofErr w:type="gramEnd"/>
    </w:p>
    <w:p w:rsidR="00020CB5" w:rsidP="00020CB5" w:rsidRDefault="00020CB5" w14:paraId="16A12113" w14:textId="77777777">
      <w:pPr>
        <w:pStyle w:val="scnewcodesection"/>
      </w:pPr>
      <w:r>
        <w:tab/>
      </w:r>
      <w:r>
        <w:tab/>
      </w:r>
      <w:bookmarkStart w:name="ss_T27C39N370S2_lv2_5e4e78c54" w:id="11"/>
      <w:r>
        <w:t>(</w:t>
      </w:r>
      <w:bookmarkEnd w:id="11"/>
      <w:r>
        <w:t>2) at any time after the first year of tenancy without giving the tenant written notice at least ninety days prior to the effective date of the rent increase; or</w:t>
      </w:r>
    </w:p>
    <w:p w:rsidR="00020CB5" w:rsidP="00020CB5" w:rsidRDefault="00020CB5" w14:paraId="3E7EA34E" w14:textId="0C59B8D9">
      <w:pPr>
        <w:pStyle w:val="scnewcodesection"/>
      </w:pPr>
      <w:r>
        <w:tab/>
      </w:r>
      <w:r>
        <w:tab/>
      </w:r>
      <w:bookmarkStart w:name="ss_T27C39N370S3_lv2_78ff0d1ee" w:id="12"/>
      <w:r>
        <w:t>(</w:t>
      </w:r>
      <w:bookmarkEnd w:id="12"/>
      <w:r>
        <w:t>3) during any twelve</w:t>
      </w:r>
      <w:r w:rsidR="008B3780">
        <w:noBreakHyphen/>
      </w:r>
      <w:r>
        <w:t>month period, in an amount greater than seven percent plus the consumer price index above the existing rent except as permitted by subsection (E).</w:t>
      </w:r>
    </w:p>
    <w:p w:rsidR="00020CB5" w:rsidP="00020CB5" w:rsidRDefault="00020CB5" w14:paraId="1B4BCA2B" w14:textId="77777777">
      <w:pPr>
        <w:pStyle w:val="scnewcodesection"/>
      </w:pPr>
      <w:r>
        <w:tab/>
      </w:r>
      <w:bookmarkStart w:name="ss_T27C39N370SC_lv1_ad96c0a0e" w:id="13"/>
      <w:r>
        <w:t>(</w:t>
      </w:r>
      <w:bookmarkEnd w:id="13"/>
      <w:r>
        <w:t>C) The notice required under this section must specify:</w:t>
      </w:r>
    </w:p>
    <w:p w:rsidR="00020CB5" w:rsidP="00020CB5" w:rsidRDefault="00020CB5" w14:paraId="45979D80" w14:textId="77777777">
      <w:pPr>
        <w:pStyle w:val="scnewcodesection"/>
      </w:pPr>
      <w:r>
        <w:tab/>
      </w:r>
      <w:r>
        <w:tab/>
      </w:r>
      <w:bookmarkStart w:name="ss_T27C39N370S1_lv2_2f5013b27" w:id="14"/>
      <w:r>
        <w:t>(</w:t>
      </w:r>
      <w:bookmarkEnd w:id="14"/>
      <w:r>
        <w:t xml:space="preserve">1) the amount of the rent </w:t>
      </w:r>
      <w:proofErr w:type="gramStart"/>
      <w:r>
        <w:t>increase;</w:t>
      </w:r>
      <w:proofErr w:type="gramEnd"/>
    </w:p>
    <w:p w:rsidR="00020CB5" w:rsidP="00020CB5" w:rsidRDefault="00020CB5" w14:paraId="64821515" w14:textId="3827A2BB">
      <w:pPr>
        <w:pStyle w:val="scnewcodesection"/>
      </w:pPr>
      <w:r>
        <w:tab/>
      </w:r>
      <w:r>
        <w:tab/>
      </w:r>
      <w:bookmarkStart w:name="ss_T27C39N370S2_lv2_b6979046c" w:id="15"/>
      <w:r>
        <w:t>(</w:t>
      </w:r>
      <w:bookmarkEnd w:id="15"/>
      <w:r>
        <w:t xml:space="preserve">2) the amount of the new </w:t>
      </w:r>
      <w:proofErr w:type="gramStart"/>
      <w:r>
        <w:t>rent;</w:t>
      </w:r>
      <w:proofErr w:type="gramEnd"/>
    </w:p>
    <w:p w:rsidR="00020CB5" w:rsidP="00020CB5" w:rsidRDefault="00020CB5" w14:paraId="6D6FC1CF" w14:textId="12E2B863">
      <w:pPr>
        <w:pStyle w:val="scnewcodesection"/>
      </w:pPr>
      <w:r>
        <w:tab/>
      </w:r>
      <w:r>
        <w:tab/>
      </w:r>
      <w:bookmarkStart w:name="ss_T27C39N370S3_lv2_10e753c01" w:id="16"/>
      <w:r>
        <w:t>(</w:t>
      </w:r>
      <w:bookmarkEnd w:id="16"/>
      <w:r>
        <w:t>3) facts supporting the exemption authorized by subsection (E) if the increase is above the amount allowed in subsection (B)(3</w:t>
      </w:r>
      <w:proofErr w:type="gramStart"/>
      <w:r>
        <w:t>);</w:t>
      </w:r>
      <w:proofErr w:type="gramEnd"/>
    </w:p>
    <w:p w:rsidR="00020CB5" w:rsidP="00020CB5" w:rsidRDefault="00020CB5" w14:paraId="736B13B6" w14:textId="77777777">
      <w:pPr>
        <w:pStyle w:val="scnewcodesection"/>
      </w:pPr>
      <w:r>
        <w:tab/>
      </w:r>
      <w:r>
        <w:tab/>
      </w:r>
      <w:bookmarkStart w:name="ss_T27C39N370S4_lv2_60aa16515" w:id="17"/>
      <w:r>
        <w:t>(</w:t>
      </w:r>
      <w:bookmarkEnd w:id="17"/>
      <w:r>
        <w:t>4) the effective date of the increased rent.</w:t>
      </w:r>
    </w:p>
    <w:p w:rsidR="00020CB5" w:rsidP="00020CB5" w:rsidRDefault="00020CB5" w14:paraId="6DE03483" w14:textId="3846A964">
      <w:pPr>
        <w:pStyle w:val="scnewcodesection"/>
      </w:pPr>
      <w:r>
        <w:tab/>
      </w:r>
      <w:bookmarkStart w:name="ss_T27C39N370SD_lv1_6e12a01dd" w:id="18"/>
      <w:r>
        <w:t>(</w:t>
      </w:r>
      <w:bookmarkEnd w:id="18"/>
      <w:r>
        <w:t>D) A landlord terminating a tenancy with a thirty</w:t>
      </w:r>
      <w:r w:rsidR="008B3780">
        <w:noBreakHyphen/>
      </w:r>
      <w:r>
        <w:t>day notice during the first year of a tenancy may not reset rent for the next tenancy in an amount greater than seven percent plus the consumer price index above the previous rent.</w:t>
      </w:r>
    </w:p>
    <w:p w:rsidR="00020CB5" w:rsidP="00020CB5" w:rsidRDefault="00020CB5" w14:paraId="4D4B681F" w14:textId="77777777">
      <w:pPr>
        <w:pStyle w:val="scnewcodesection"/>
      </w:pPr>
      <w:r>
        <w:tab/>
      </w:r>
      <w:bookmarkStart w:name="ss_T27C39N370SE_lv1_ee9f48e61" w:id="19"/>
      <w:r>
        <w:t>(</w:t>
      </w:r>
      <w:bookmarkEnd w:id="19"/>
      <w:r>
        <w:t>E) A landlord is not subject to subsection (B)(3) or (D) of this section if:</w:t>
      </w:r>
    </w:p>
    <w:p w:rsidR="00020CB5" w:rsidP="00020CB5" w:rsidRDefault="00020CB5" w14:paraId="60E641B4" w14:textId="77777777">
      <w:pPr>
        <w:pStyle w:val="scnewcodesection"/>
      </w:pPr>
      <w:r>
        <w:tab/>
      </w:r>
      <w:r>
        <w:tab/>
      </w:r>
      <w:bookmarkStart w:name="ss_T27C39N370S1_lv2_ed564b4b0" w:id="20"/>
      <w:r>
        <w:t>(</w:t>
      </w:r>
      <w:bookmarkEnd w:id="20"/>
      <w:r>
        <w:t>1) the first certificate of occupancy for the dwelling unit was issued less than fifteen years from the date of the notice of the rent increase; or</w:t>
      </w:r>
    </w:p>
    <w:p w:rsidR="00020CB5" w:rsidP="00020CB5" w:rsidRDefault="00020CB5" w14:paraId="7C738B6D" w14:textId="77777777">
      <w:pPr>
        <w:pStyle w:val="scnewcodesection"/>
      </w:pPr>
      <w:r>
        <w:lastRenderedPageBreak/>
        <w:tab/>
      </w:r>
      <w:r>
        <w:tab/>
      </w:r>
      <w:bookmarkStart w:name="ss_T27C39N370S2_lv2_5db1ae3dd" w:id="21"/>
      <w:r>
        <w:t>(</w:t>
      </w:r>
      <w:bookmarkEnd w:id="21"/>
      <w:r>
        <w:t>2) the landlord is providing reduced rent to the tenant as a part of a federal, state, or local program or subsidy.</w:t>
      </w:r>
    </w:p>
    <w:p w:rsidR="00020CB5" w:rsidP="00020CB5" w:rsidRDefault="00020CB5" w14:paraId="77B8CA28" w14:textId="77777777">
      <w:pPr>
        <w:pStyle w:val="scnewcodesection"/>
      </w:pPr>
      <w:r>
        <w:tab/>
      </w:r>
      <w:bookmarkStart w:name="ss_T27C39N370SF_lv1_8a9d4bed0" w:id="22"/>
      <w:r>
        <w:t>(</w:t>
      </w:r>
      <w:bookmarkEnd w:id="22"/>
      <w:r>
        <w:t>F) A landlord that increases rent in violation of subsection (B)(3) or (D) is liable to the tenant in an amount equal to three months’ rent plus actual damages suffered by the tenant.</w:t>
      </w:r>
    </w:p>
    <w:p w:rsidR="000068C4" w:rsidP="00020CB5" w:rsidRDefault="00020CB5" w14:paraId="63A69037" w14:textId="02AE361B">
      <w:pPr>
        <w:pStyle w:val="scnewcodesection"/>
      </w:pPr>
      <w:r>
        <w:tab/>
      </w:r>
      <w:bookmarkStart w:name="ss_T27C39N370SG_lv1_efcbb301b" w:id="23"/>
      <w:r>
        <w:t>(</w:t>
      </w:r>
      <w:bookmarkEnd w:id="23"/>
      <w:r>
        <w:t>G) For purposes of this section, “consumer price index” means the annual twelve</w:t>
      </w:r>
      <w:r w:rsidR="008B3780">
        <w:noBreakHyphen/>
      </w:r>
      <w:r>
        <w:t>month average change in the Consumer Price Index, Southeast Region, as published by the United States Department of Labor in September of the prior calendar year.</w:t>
      </w:r>
    </w:p>
    <w:p w:rsidRPr="00DF3B44" w:rsidR="007E06BB" w:rsidP="00787433" w:rsidRDefault="007E06BB" w14:paraId="3D8F1FED" w14:textId="29BA1AE5">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2B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C2A7E1" w:rsidR="00685035" w:rsidRPr="007B4AF7" w:rsidRDefault="006155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33DE">
              <w:rPr>
                <w:noProof/>
              </w:rPr>
              <w:t>LC-0031SA25.docx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8C4"/>
    <w:rsid w:val="00011182"/>
    <w:rsid w:val="00012912"/>
    <w:rsid w:val="00017FB0"/>
    <w:rsid w:val="00020B5D"/>
    <w:rsid w:val="00020CB5"/>
    <w:rsid w:val="00026421"/>
    <w:rsid w:val="00030409"/>
    <w:rsid w:val="00031B65"/>
    <w:rsid w:val="00037F04"/>
    <w:rsid w:val="000404BF"/>
    <w:rsid w:val="00044B84"/>
    <w:rsid w:val="000479D0"/>
    <w:rsid w:val="00061A5C"/>
    <w:rsid w:val="0006464F"/>
    <w:rsid w:val="00066B54"/>
    <w:rsid w:val="00072FCD"/>
    <w:rsid w:val="00074A4F"/>
    <w:rsid w:val="00077B65"/>
    <w:rsid w:val="00091EAE"/>
    <w:rsid w:val="000A3C25"/>
    <w:rsid w:val="000B4C02"/>
    <w:rsid w:val="000B5054"/>
    <w:rsid w:val="000B5B4A"/>
    <w:rsid w:val="000B7FE1"/>
    <w:rsid w:val="000C05F0"/>
    <w:rsid w:val="000C3E88"/>
    <w:rsid w:val="000C46B9"/>
    <w:rsid w:val="000C58E4"/>
    <w:rsid w:val="000C6F9A"/>
    <w:rsid w:val="000D0A13"/>
    <w:rsid w:val="000D2F44"/>
    <w:rsid w:val="000D33E4"/>
    <w:rsid w:val="000D7682"/>
    <w:rsid w:val="000E578A"/>
    <w:rsid w:val="000F2250"/>
    <w:rsid w:val="0010329A"/>
    <w:rsid w:val="00103F5A"/>
    <w:rsid w:val="00105756"/>
    <w:rsid w:val="00105B17"/>
    <w:rsid w:val="0011308F"/>
    <w:rsid w:val="001164F9"/>
    <w:rsid w:val="0011719C"/>
    <w:rsid w:val="00130742"/>
    <w:rsid w:val="00133CFE"/>
    <w:rsid w:val="00140049"/>
    <w:rsid w:val="00171601"/>
    <w:rsid w:val="001730EB"/>
    <w:rsid w:val="00173276"/>
    <w:rsid w:val="00176122"/>
    <w:rsid w:val="0019025B"/>
    <w:rsid w:val="00192AF7"/>
    <w:rsid w:val="00192B45"/>
    <w:rsid w:val="00197366"/>
    <w:rsid w:val="001A136C"/>
    <w:rsid w:val="001B6DA2"/>
    <w:rsid w:val="001C25EC"/>
    <w:rsid w:val="001F2A41"/>
    <w:rsid w:val="001F313F"/>
    <w:rsid w:val="001F331D"/>
    <w:rsid w:val="001F394C"/>
    <w:rsid w:val="002038AA"/>
    <w:rsid w:val="002114C8"/>
    <w:rsid w:val="0021166F"/>
    <w:rsid w:val="00214532"/>
    <w:rsid w:val="002162DF"/>
    <w:rsid w:val="00230038"/>
    <w:rsid w:val="00231670"/>
    <w:rsid w:val="00233975"/>
    <w:rsid w:val="00236D73"/>
    <w:rsid w:val="00246535"/>
    <w:rsid w:val="00246CA0"/>
    <w:rsid w:val="00257F60"/>
    <w:rsid w:val="002625EA"/>
    <w:rsid w:val="00262AC5"/>
    <w:rsid w:val="00264AE9"/>
    <w:rsid w:val="0027366D"/>
    <w:rsid w:val="00275AE6"/>
    <w:rsid w:val="00280491"/>
    <w:rsid w:val="002836D8"/>
    <w:rsid w:val="0029132F"/>
    <w:rsid w:val="002944C4"/>
    <w:rsid w:val="002A7989"/>
    <w:rsid w:val="002B02F3"/>
    <w:rsid w:val="002B2D60"/>
    <w:rsid w:val="002C3463"/>
    <w:rsid w:val="002C540C"/>
    <w:rsid w:val="002D0721"/>
    <w:rsid w:val="002D266D"/>
    <w:rsid w:val="002D5B3D"/>
    <w:rsid w:val="002D7447"/>
    <w:rsid w:val="002E01B8"/>
    <w:rsid w:val="002E315A"/>
    <w:rsid w:val="002E4F8C"/>
    <w:rsid w:val="002E655E"/>
    <w:rsid w:val="002F4644"/>
    <w:rsid w:val="002F560C"/>
    <w:rsid w:val="002F5847"/>
    <w:rsid w:val="0030425A"/>
    <w:rsid w:val="003044E2"/>
    <w:rsid w:val="003421F1"/>
    <w:rsid w:val="0034279C"/>
    <w:rsid w:val="00354F64"/>
    <w:rsid w:val="003559A1"/>
    <w:rsid w:val="0036107E"/>
    <w:rsid w:val="00361563"/>
    <w:rsid w:val="00371D36"/>
    <w:rsid w:val="00373E17"/>
    <w:rsid w:val="003775E6"/>
    <w:rsid w:val="00381998"/>
    <w:rsid w:val="00393323"/>
    <w:rsid w:val="00393C77"/>
    <w:rsid w:val="003A5F1C"/>
    <w:rsid w:val="003C3E2E"/>
    <w:rsid w:val="003D4A3C"/>
    <w:rsid w:val="003D55B2"/>
    <w:rsid w:val="003E0033"/>
    <w:rsid w:val="003E5452"/>
    <w:rsid w:val="003E7165"/>
    <w:rsid w:val="003E7FF6"/>
    <w:rsid w:val="003F15B0"/>
    <w:rsid w:val="004046B5"/>
    <w:rsid w:val="00406F27"/>
    <w:rsid w:val="004141B8"/>
    <w:rsid w:val="004203B9"/>
    <w:rsid w:val="00432135"/>
    <w:rsid w:val="0043219F"/>
    <w:rsid w:val="00435405"/>
    <w:rsid w:val="00446987"/>
    <w:rsid w:val="00446D28"/>
    <w:rsid w:val="00456EEF"/>
    <w:rsid w:val="00466979"/>
    <w:rsid w:val="00466CD0"/>
    <w:rsid w:val="00473583"/>
    <w:rsid w:val="00477F32"/>
    <w:rsid w:val="00481850"/>
    <w:rsid w:val="004851A0"/>
    <w:rsid w:val="0048627F"/>
    <w:rsid w:val="004932AB"/>
    <w:rsid w:val="00494BEF"/>
    <w:rsid w:val="004A5512"/>
    <w:rsid w:val="004A6BE5"/>
    <w:rsid w:val="004B0C18"/>
    <w:rsid w:val="004C1A04"/>
    <w:rsid w:val="004C20BC"/>
    <w:rsid w:val="004C390C"/>
    <w:rsid w:val="004C5C9A"/>
    <w:rsid w:val="004D1442"/>
    <w:rsid w:val="004D3DCB"/>
    <w:rsid w:val="004D5FBD"/>
    <w:rsid w:val="004E1946"/>
    <w:rsid w:val="004E66E9"/>
    <w:rsid w:val="004E7DDE"/>
    <w:rsid w:val="004F0090"/>
    <w:rsid w:val="004F172C"/>
    <w:rsid w:val="004F5884"/>
    <w:rsid w:val="005002ED"/>
    <w:rsid w:val="00500DBC"/>
    <w:rsid w:val="005076A2"/>
    <w:rsid w:val="005102BE"/>
    <w:rsid w:val="00523F7F"/>
    <w:rsid w:val="00524D54"/>
    <w:rsid w:val="0054531B"/>
    <w:rsid w:val="00546C24"/>
    <w:rsid w:val="005476FF"/>
    <w:rsid w:val="0055111F"/>
    <w:rsid w:val="005516F6"/>
    <w:rsid w:val="00552842"/>
    <w:rsid w:val="00554E89"/>
    <w:rsid w:val="00561C4B"/>
    <w:rsid w:val="00562DDA"/>
    <w:rsid w:val="00564B16"/>
    <w:rsid w:val="00564B58"/>
    <w:rsid w:val="00567069"/>
    <w:rsid w:val="00572281"/>
    <w:rsid w:val="005801DD"/>
    <w:rsid w:val="00592A40"/>
    <w:rsid w:val="005A105A"/>
    <w:rsid w:val="005A28BC"/>
    <w:rsid w:val="005A5377"/>
    <w:rsid w:val="005A55ED"/>
    <w:rsid w:val="005B7817"/>
    <w:rsid w:val="005C0563"/>
    <w:rsid w:val="005C06C8"/>
    <w:rsid w:val="005C23D7"/>
    <w:rsid w:val="005C40EB"/>
    <w:rsid w:val="005D0058"/>
    <w:rsid w:val="005D02B4"/>
    <w:rsid w:val="005D1896"/>
    <w:rsid w:val="005D3013"/>
    <w:rsid w:val="005D375F"/>
    <w:rsid w:val="005D5B23"/>
    <w:rsid w:val="005E1E50"/>
    <w:rsid w:val="005E2B9C"/>
    <w:rsid w:val="005E3332"/>
    <w:rsid w:val="005F76B0"/>
    <w:rsid w:val="00604429"/>
    <w:rsid w:val="006067B0"/>
    <w:rsid w:val="00606A8B"/>
    <w:rsid w:val="00611EBA"/>
    <w:rsid w:val="00615540"/>
    <w:rsid w:val="0061667B"/>
    <w:rsid w:val="006213A8"/>
    <w:rsid w:val="00622C4D"/>
    <w:rsid w:val="00623BEA"/>
    <w:rsid w:val="006347E9"/>
    <w:rsid w:val="00634AD9"/>
    <w:rsid w:val="00640C87"/>
    <w:rsid w:val="006454BB"/>
    <w:rsid w:val="00657CF4"/>
    <w:rsid w:val="00661463"/>
    <w:rsid w:val="00663B8D"/>
    <w:rsid w:val="00663E00"/>
    <w:rsid w:val="00664F48"/>
    <w:rsid w:val="00664FAD"/>
    <w:rsid w:val="00670783"/>
    <w:rsid w:val="0067345B"/>
    <w:rsid w:val="0068300C"/>
    <w:rsid w:val="00683986"/>
    <w:rsid w:val="00685035"/>
    <w:rsid w:val="00685770"/>
    <w:rsid w:val="00690DBA"/>
    <w:rsid w:val="006964F9"/>
    <w:rsid w:val="006A395F"/>
    <w:rsid w:val="006A65E2"/>
    <w:rsid w:val="006B37BD"/>
    <w:rsid w:val="006B6A06"/>
    <w:rsid w:val="006C092D"/>
    <w:rsid w:val="006C099D"/>
    <w:rsid w:val="006C18F0"/>
    <w:rsid w:val="006C7E01"/>
    <w:rsid w:val="006D64A5"/>
    <w:rsid w:val="006E0935"/>
    <w:rsid w:val="006E353F"/>
    <w:rsid w:val="006E35AB"/>
    <w:rsid w:val="0071065A"/>
    <w:rsid w:val="007107B7"/>
    <w:rsid w:val="00711AA9"/>
    <w:rsid w:val="007173F6"/>
    <w:rsid w:val="00722155"/>
    <w:rsid w:val="00726BC2"/>
    <w:rsid w:val="00737F19"/>
    <w:rsid w:val="00744816"/>
    <w:rsid w:val="00782BF8"/>
    <w:rsid w:val="00783C75"/>
    <w:rsid w:val="007849D9"/>
    <w:rsid w:val="00787433"/>
    <w:rsid w:val="007A0F85"/>
    <w:rsid w:val="007A10F1"/>
    <w:rsid w:val="007A3D50"/>
    <w:rsid w:val="007A5AC5"/>
    <w:rsid w:val="007B2D29"/>
    <w:rsid w:val="007B412F"/>
    <w:rsid w:val="007B4AF7"/>
    <w:rsid w:val="007B4DBF"/>
    <w:rsid w:val="007C07FD"/>
    <w:rsid w:val="007C5458"/>
    <w:rsid w:val="007D2C67"/>
    <w:rsid w:val="007E06BB"/>
    <w:rsid w:val="007F50D1"/>
    <w:rsid w:val="007F6C21"/>
    <w:rsid w:val="00816D52"/>
    <w:rsid w:val="00831048"/>
    <w:rsid w:val="00834272"/>
    <w:rsid w:val="00855F32"/>
    <w:rsid w:val="008625C1"/>
    <w:rsid w:val="0087671D"/>
    <w:rsid w:val="008806F9"/>
    <w:rsid w:val="0088155E"/>
    <w:rsid w:val="00887957"/>
    <w:rsid w:val="00894DF8"/>
    <w:rsid w:val="008A57E3"/>
    <w:rsid w:val="008B3780"/>
    <w:rsid w:val="008B5BF4"/>
    <w:rsid w:val="008C0CEE"/>
    <w:rsid w:val="008C1B18"/>
    <w:rsid w:val="008D46EC"/>
    <w:rsid w:val="008E0E25"/>
    <w:rsid w:val="008E61A1"/>
    <w:rsid w:val="009031EF"/>
    <w:rsid w:val="009110BC"/>
    <w:rsid w:val="00917EA3"/>
    <w:rsid w:val="00917EE0"/>
    <w:rsid w:val="00921C89"/>
    <w:rsid w:val="00926966"/>
    <w:rsid w:val="00926D03"/>
    <w:rsid w:val="00934036"/>
    <w:rsid w:val="00934889"/>
    <w:rsid w:val="0094541D"/>
    <w:rsid w:val="009473EA"/>
    <w:rsid w:val="00954E7E"/>
    <w:rsid w:val="009554D9"/>
    <w:rsid w:val="009572F9"/>
    <w:rsid w:val="00960D0F"/>
    <w:rsid w:val="00983241"/>
    <w:rsid w:val="0098366F"/>
    <w:rsid w:val="00983A03"/>
    <w:rsid w:val="00986063"/>
    <w:rsid w:val="00991F67"/>
    <w:rsid w:val="00992876"/>
    <w:rsid w:val="009A0DCE"/>
    <w:rsid w:val="009A22CD"/>
    <w:rsid w:val="009A3E4B"/>
    <w:rsid w:val="009B35FD"/>
    <w:rsid w:val="009B6815"/>
    <w:rsid w:val="009D2967"/>
    <w:rsid w:val="009D3C2B"/>
    <w:rsid w:val="009D7A68"/>
    <w:rsid w:val="009E4191"/>
    <w:rsid w:val="009F18B8"/>
    <w:rsid w:val="009F1972"/>
    <w:rsid w:val="009F2AB1"/>
    <w:rsid w:val="009F4FAF"/>
    <w:rsid w:val="009F68F1"/>
    <w:rsid w:val="00A04529"/>
    <w:rsid w:val="00A0584B"/>
    <w:rsid w:val="00A133DE"/>
    <w:rsid w:val="00A17135"/>
    <w:rsid w:val="00A21A6F"/>
    <w:rsid w:val="00A24E56"/>
    <w:rsid w:val="00A26A62"/>
    <w:rsid w:val="00A35A9B"/>
    <w:rsid w:val="00A4070E"/>
    <w:rsid w:val="00A40CA0"/>
    <w:rsid w:val="00A504A7"/>
    <w:rsid w:val="00A53677"/>
    <w:rsid w:val="00A53BF2"/>
    <w:rsid w:val="00A604A1"/>
    <w:rsid w:val="00A60D68"/>
    <w:rsid w:val="00A652A0"/>
    <w:rsid w:val="00A73EFA"/>
    <w:rsid w:val="00A77A3B"/>
    <w:rsid w:val="00A77E31"/>
    <w:rsid w:val="00A92F6F"/>
    <w:rsid w:val="00A97523"/>
    <w:rsid w:val="00AA7824"/>
    <w:rsid w:val="00AB0FA3"/>
    <w:rsid w:val="00AB3A2F"/>
    <w:rsid w:val="00AB73BF"/>
    <w:rsid w:val="00AC335C"/>
    <w:rsid w:val="00AC463E"/>
    <w:rsid w:val="00AD2ED4"/>
    <w:rsid w:val="00AD3BE2"/>
    <w:rsid w:val="00AD3E3D"/>
    <w:rsid w:val="00AE1EE4"/>
    <w:rsid w:val="00AE36EC"/>
    <w:rsid w:val="00AE7406"/>
    <w:rsid w:val="00AF1688"/>
    <w:rsid w:val="00AF46E6"/>
    <w:rsid w:val="00AF5139"/>
    <w:rsid w:val="00B03729"/>
    <w:rsid w:val="00B050E7"/>
    <w:rsid w:val="00B06EDA"/>
    <w:rsid w:val="00B1161F"/>
    <w:rsid w:val="00B11661"/>
    <w:rsid w:val="00B32B4D"/>
    <w:rsid w:val="00B37A14"/>
    <w:rsid w:val="00B4137E"/>
    <w:rsid w:val="00B41F37"/>
    <w:rsid w:val="00B470A6"/>
    <w:rsid w:val="00B54DF7"/>
    <w:rsid w:val="00B56223"/>
    <w:rsid w:val="00B56E79"/>
    <w:rsid w:val="00B57830"/>
    <w:rsid w:val="00B57AA7"/>
    <w:rsid w:val="00B637AA"/>
    <w:rsid w:val="00B63BE2"/>
    <w:rsid w:val="00B7592C"/>
    <w:rsid w:val="00B809D3"/>
    <w:rsid w:val="00B84B66"/>
    <w:rsid w:val="00B85475"/>
    <w:rsid w:val="00B9090A"/>
    <w:rsid w:val="00B92196"/>
    <w:rsid w:val="00B9228D"/>
    <w:rsid w:val="00B929EC"/>
    <w:rsid w:val="00BA113B"/>
    <w:rsid w:val="00BB0725"/>
    <w:rsid w:val="00BC408A"/>
    <w:rsid w:val="00BC5023"/>
    <w:rsid w:val="00BC556C"/>
    <w:rsid w:val="00BD42DA"/>
    <w:rsid w:val="00BD4684"/>
    <w:rsid w:val="00BD5165"/>
    <w:rsid w:val="00BE08A7"/>
    <w:rsid w:val="00BE4391"/>
    <w:rsid w:val="00BF3E48"/>
    <w:rsid w:val="00C12BCC"/>
    <w:rsid w:val="00C15F1B"/>
    <w:rsid w:val="00C16288"/>
    <w:rsid w:val="00C17D1D"/>
    <w:rsid w:val="00C23822"/>
    <w:rsid w:val="00C35975"/>
    <w:rsid w:val="00C41DD3"/>
    <w:rsid w:val="00C45923"/>
    <w:rsid w:val="00C543E7"/>
    <w:rsid w:val="00C70225"/>
    <w:rsid w:val="00C72198"/>
    <w:rsid w:val="00C73C7D"/>
    <w:rsid w:val="00C75005"/>
    <w:rsid w:val="00C77F77"/>
    <w:rsid w:val="00C957AE"/>
    <w:rsid w:val="00C970DF"/>
    <w:rsid w:val="00CA555F"/>
    <w:rsid w:val="00CA74DD"/>
    <w:rsid w:val="00CA7E71"/>
    <w:rsid w:val="00CB2673"/>
    <w:rsid w:val="00CB701D"/>
    <w:rsid w:val="00CC3F0E"/>
    <w:rsid w:val="00CD08C9"/>
    <w:rsid w:val="00CD1615"/>
    <w:rsid w:val="00CD1FE8"/>
    <w:rsid w:val="00CD38CD"/>
    <w:rsid w:val="00CD3E0C"/>
    <w:rsid w:val="00CD5565"/>
    <w:rsid w:val="00CD616C"/>
    <w:rsid w:val="00CE1A41"/>
    <w:rsid w:val="00CE7C4E"/>
    <w:rsid w:val="00CF513A"/>
    <w:rsid w:val="00CF68D6"/>
    <w:rsid w:val="00CF7B4A"/>
    <w:rsid w:val="00D009F8"/>
    <w:rsid w:val="00D078DA"/>
    <w:rsid w:val="00D14995"/>
    <w:rsid w:val="00D204F2"/>
    <w:rsid w:val="00D22572"/>
    <w:rsid w:val="00D2455C"/>
    <w:rsid w:val="00D25023"/>
    <w:rsid w:val="00D27F8C"/>
    <w:rsid w:val="00D33843"/>
    <w:rsid w:val="00D3582A"/>
    <w:rsid w:val="00D51FAB"/>
    <w:rsid w:val="00D54A6F"/>
    <w:rsid w:val="00D57D57"/>
    <w:rsid w:val="00D62E42"/>
    <w:rsid w:val="00D772FB"/>
    <w:rsid w:val="00D91281"/>
    <w:rsid w:val="00DA1AA0"/>
    <w:rsid w:val="00DA512B"/>
    <w:rsid w:val="00DB05B6"/>
    <w:rsid w:val="00DB337E"/>
    <w:rsid w:val="00DC3E3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81D"/>
    <w:rsid w:val="00E56A8E"/>
    <w:rsid w:val="00E6378B"/>
    <w:rsid w:val="00E63EC3"/>
    <w:rsid w:val="00E653DA"/>
    <w:rsid w:val="00E65958"/>
    <w:rsid w:val="00E84FE5"/>
    <w:rsid w:val="00E879A5"/>
    <w:rsid w:val="00E879FC"/>
    <w:rsid w:val="00E914C2"/>
    <w:rsid w:val="00E938D0"/>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8A0"/>
    <w:rsid w:val="00F15E33"/>
    <w:rsid w:val="00F17DA2"/>
    <w:rsid w:val="00F22EC0"/>
    <w:rsid w:val="00F25C47"/>
    <w:rsid w:val="00F27D7B"/>
    <w:rsid w:val="00F31D34"/>
    <w:rsid w:val="00F342A1"/>
    <w:rsid w:val="00F36FBA"/>
    <w:rsid w:val="00F44D36"/>
    <w:rsid w:val="00F44E49"/>
    <w:rsid w:val="00F46262"/>
    <w:rsid w:val="00F4795D"/>
    <w:rsid w:val="00F50A61"/>
    <w:rsid w:val="00F525CD"/>
    <w:rsid w:val="00F5286C"/>
    <w:rsid w:val="00F52E12"/>
    <w:rsid w:val="00F638CA"/>
    <w:rsid w:val="00F657C5"/>
    <w:rsid w:val="00F900B4"/>
    <w:rsid w:val="00FA08FF"/>
    <w:rsid w:val="00FA0F2E"/>
    <w:rsid w:val="00FA364C"/>
    <w:rsid w:val="00FA4DB1"/>
    <w:rsid w:val="00FB3F2A"/>
    <w:rsid w:val="00FC3593"/>
    <w:rsid w:val="00FD117D"/>
    <w:rsid w:val="00FD583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7069"/>
    <w:rPr>
      <w:rFonts w:ascii="Times New Roman" w:hAnsi="Times New Roman"/>
      <w:b w:val="0"/>
      <w:i w:val="0"/>
      <w:sz w:val="22"/>
    </w:rPr>
  </w:style>
  <w:style w:type="paragraph" w:styleId="NoSpacing">
    <w:name w:val="No Spacing"/>
    <w:uiPriority w:val="1"/>
    <w:qFormat/>
    <w:rsid w:val="00567069"/>
    <w:pPr>
      <w:spacing w:after="0" w:line="240" w:lineRule="auto"/>
    </w:pPr>
  </w:style>
  <w:style w:type="paragraph" w:customStyle="1" w:styleId="scemptylineheader">
    <w:name w:val="sc_emptyline_header"/>
    <w:qFormat/>
    <w:rsid w:val="005670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70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70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70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70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7069"/>
    <w:rPr>
      <w:color w:val="808080"/>
    </w:rPr>
  </w:style>
  <w:style w:type="paragraph" w:customStyle="1" w:styleId="scdirectionallanguage">
    <w:name w:val="sc_directional_language"/>
    <w:qFormat/>
    <w:rsid w:val="005670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70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70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70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70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70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70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70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70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70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70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70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70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70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70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70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7069"/>
    <w:rPr>
      <w:rFonts w:ascii="Times New Roman" w:hAnsi="Times New Roman"/>
      <w:color w:val="auto"/>
      <w:sz w:val="22"/>
    </w:rPr>
  </w:style>
  <w:style w:type="paragraph" w:customStyle="1" w:styleId="scclippagebillheader">
    <w:name w:val="sc_clip_page_bill_header"/>
    <w:qFormat/>
    <w:rsid w:val="005670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70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70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069"/>
    <w:rPr>
      <w:lang w:val="en-US"/>
    </w:rPr>
  </w:style>
  <w:style w:type="paragraph" w:styleId="Footer">
    <w:name w:val="footer"/>
    <w:basedOn w:val="Normal"/>
    <w:link w:val="FooterChar"/>
    <w:uiPriority w:val="99"/>
    <w:unhideWhenUsed/>
    <w:rsid w:val="0056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069"/>
    <w:rPr>
      <w:lang w:val="en-US"/>
    </w:rPr>
  </w:style>
  <w:style w:type="paragraph" w:styleId="ListParagraph">
    <w:name w:val="List Paragraph"/>
    <w:basedOn w:val="Normal"/>
    <w:uiPriority w:val="34"/>
    <w:qFormat/>
    <w:rsid w:val="00567069"/>
    <w:pPr>
      <w:ind w:left="720"/>
      <w:contextualSpacing/>
    </w:pPr>
  </w:style>
  <w:style w:type="paragraph" w:customStyle="1" w:styleId="scbillfooter">
    <w:name w:val="sc_bill_footer"/>
    <w:qFormat/>
    <w:rsid w:val="005670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70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70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70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70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70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7069"/>
    <w:pPr>
      <w:widowControl w:val="0"/>
      <w:suppressAutoHyphens/>
      <w:spacing w:after="0" w:line="360" w:lineRule="auto"/>
    </w:pPr>
    <w:rPr>
      <w:rFonts w:ascii="Times New Roman" w:hAnsi="Times New Roman"/>
      <w:lang w:val="en-US"/>
    </w:rPr>
  </w:style>
  <w:style w:type="paragraph" w:customStyle="1" w:styleId="sctableln">
    <w:name w:val="sc_table_ln"/>
    <w:qFormat/>
    <w:rsid w:val="005670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70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7069"/>
    <w:rPr>
      <w:strike/>
      <w:dstrike w:val="0"/>
    </w:rPr>
  </w:style>
  <w:style w:type="character" w:customStyle="1" w:styleId="scinsert">
    <w:name w:val="sc_insert"/>
    <w:uiPriority w:val="1"/>
    <w:qFormat/>
    <w:rsid w:val="00567069"/>
    <w:rPr>
      <w:caps w:val="0"/>
      <w:smallCaps w:val="0"/>
      <w:strike w:val="0"/>
      <w:dstrike w:val="0"/>
      <w:vanish w:val="0"/>
      <w:u w:val="single"/>
      <w:vertAlign w:val="baseline"/>
    </w:rPr>
  </w:style>
  <w:style w:type="character" w:customStyle="1" w:styleId="scinsertred">
    <w:name w:val="sc_insert_red"/>
    <w:uiPriority w:val="1"/>
    <w:qFormat/>
    <w:rsid w:val="00567069"/>
    <w:rPr>
      <w:caps w:val="0"/>
      <w:smallCaps w:val="0"/>
      <w:strike w:val="0"/>
      <w:dstrike w:val="0"/>
      <w:vanish w:val="0"/>
      <w:color w:val="FF0000"/>
      <w:u w:val="single"/>
      <w:vertAlign w:val="baseline"/>
    </w:rPr>
  </w:style>
  <w:style w:type="character" w:customStyle="1" w:styleId="scinsertblue">
    <w:name w:val="sc_insert_blue"/>
    <w:uiPriority w:val="1"/>
    <w:qFormat/>
    <w:rsid w:val="00567069"/>
    <w:rPr>
      <w:caps w:val="0"/>
      <w:smallCaps w:val="0"/>
      <w:strike w:val="0"/>
      <w:dstrike w:val="0"/>
      <w:vanish w:val="0"/>
      <w:color w:val="0070C0"/>
      <w:u w:val="single"/>
      <w:vertAlign w:val="baseline"/>
    </w:rPr>
  </w:style>
  <w:style w:type="character" w:customStyle="1" w:styleId="scstrikered">
    <w:name w:val="sc_strike_red"/>
    <w:uiPriority w:val="1"/>
    <w:qFormat/>
    <w:rsid w:val="00567069"/>
    <w:rPr>
      <w:strike/>
      <w:dstrike w:val="0"/>
      <w:color w:val="FF0000"/>
    </w:rPr>
  </w:style>
  <w:style w:type="character" w:customStyle="1" w:styleId="scstrikeblue">
    <w:name w:val="sc_strike_blue"/>
    <w:uiPriority w:val="1"/>
    <w:qFormat/>
    <w:rsid w:val="00567069"/>
    <w:rPr>
      <w:strike/>
      <w:dstrike w:val="0"/>
      <w:color w:val="0070C0"/>
    </w:rPr>
  </w:style>
  <w:style w:type="character" w:customStyle="1" w:styleId="scinsertbluenounderline">
    <w:name w:val="sc_insert_blue_no_underline"/>
    <w:uiPriority w:val="1"/>
    <w:qFormat/>
    <w:rsid w:val="005670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70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7069"/>
    <w:rPr>
      <w:strike/>
      <w:dstrike w:val="0"/>
      <w:color w:val="0070C0"/>
      <w:lang w:val="en-US"/>
    </w:rPr>
  </w:style>
  <w:style w:type="character" w:customStyle="1" w:styleId="scstrikerednoncodified">
    <w:name w:val="sc_strike_red_non_codified"/>
    <w:uiPriority w:val="1"/>
    <w:qFormat/>
    <w:rsid w:val="00567069"/>
    <w:rPr>
      <w:strike/>
      <w:dstrike w:val="0"/>
      <w:color w:val="FF0000"/>
    </w:rPr>
  </w:style>
  <w:style w:type="paragraph" w:customStyle="1" w:styleId="scbillsiglines">
    <w:name w:val="sc_bill_sig_lines"/>
    <w:qFormat/>
    <w:rsid w:val="005670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7069"/>
    <w:rPr>
      <w:bdr w:val="none" w:sz="0" w:space="0" w:color="auto"/>
      <w:shd w:val="clear" w:color="auto" w:fill="FEC6C6"/>
    </w:rPr>
  </w:style>
  <w:style w:type="character" w:customStyle="1" w:styleId="screstoreblue">
    <w:name w:val="sc_restore_blue"/>
    <w:uiPriority w:val="1"/>
    <w:qFormat/>
    <w:rsid w:val="00567069"/>
    <w:rPr>
      <w:color w:val="4472C4" w:themeColor="accent1"/>
      <w:bdr w:val="none" w:sz="0" w:space="0" w:color="auto"/>
      <w:shd w:val="clear" w:color="auto" w:fill="auto"/>
    </w:rPr>
  </w:style>
  <w:style w:type="character" w:customStyle="1" w:styleId="screstorered">
    <w:name w:val="sc_restore_red"/>
    <w:uiPriority w:val="1"/>
    <w:qFormat/>
    <w:rsid w:val="00567069"/>
    <w:rPr>
      <w:color w:val="FF0000"/>
      <w:bdr w:val="none" w:sz="0" w:space="0" w:color="auto"/>
      <w:shd w:val="clear" w:color="auto" w:fill="auto"/>
    </w:rPr>
  </w:style>
  <w:style w:type="character" w:customStyle="1" w:styleId="scstrikenewblue">
    <w:name w:val="sc_strike_new_blue"/>
    <w:uiPriority w:val="1"/>
    <w:qFormat/>
    <w:rsid w:val="00567069"/>
    <w:rPr>
      <w:strike w:val="0"/>
      <w:dstrike/>
      <w:color w:val="0070C0"/>
      <w:u w:val="none"/>
    </w:rPr>
  </w:style>
  <w:style w:type="character" w:customStyle="1" w:styleId="scstrikenewred">
    <w:name w:val="sc_strike_new_red"/>
    <w:uiPriority w:val="1"/>
    <w:qFormat/>
    <w:rsid w:val="00567069"/>
    <w:rPr>
      <w:strike w:val="0"/>
      <w:dstrike/>
      <w:color w:val="FF0000"/>
      <w:u w:val="none"/>
    </w:rPr>
  </w:style>
  <w:style w:type="character" w:customStyle="1" w:styleId="scamendsenate">
    <w:name w:val="sc_amend_senate"/>
    <w:uiPriority w:val="1"/>
    <w:qFormat/>
    <w:rsid w:val="00567069"/>
    <w:rPr>
      <w:bdr w:val="none" w:sz="0" w:space="0" w:color="auto"/>
      <w:shd w:val="clear" w:color="auto" w:fill="FFF2CC" w:themeFill="accent4" w:themeFillTint="33"/>
    </w:rPr>
  </w:style>
  <w:style w:type="character" w:customStyle="1" w:styleId="scamendhouse">
    <w:name w:val="sc_amend_house"/>
    <w:uiPriority w:val="1"/>
    <w:qFormat/>
    <w:rsid w:val="0056706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6&amp;session=126&amp;summary=B" TargetMode="External" Id="R971b609862574b58" /><Relationship Type="http://schemas.openxmlformats.org/officeDocument/2006/relationships/hyperlink" Target="https://www.scstatehouse.gov/sess126_2025-2026/prever/3346_20241205.docx" TargetMode="External" Id="Rd0839ae45f3a47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A13"/>
    <w:rsid w:val="000D7682"/>
    <w:rsid w:val="000F401F"/>
    <w:rsid w:val="00140B15"/>
    <w:rsid w:val="001B20DA"/>
    <w:rsid w:val="001C48FD"/>
    <w:rsid w:val="002A7C8A"/>
    <w:rsid w:val="002D4365"/>
    <w:rsid w:val="003E4FBC"/>
    <w:rsid w:val="003F4940"/>
    <w:rsid w:val="004E2BB5"/>
    <w:rsid w:val="00580C56"/>
    <w:rsid w:val="006B363F"/>
    <w:rsid w:val="007070D2"/>
    <w:rsid w:val="007173F6"/>
    <w:rsid w:val="00776F2C"/>
    <w:rsid w:val="008F7723"/>
    <w:rsid w:val="009031EF"/>
    <w:rsid w:val="00912A5F"/>
    <w:rsid w:val="00940EED"/>
    <w:rsid w:val="00985255"/>
    <w:rsid w:val="009C3651"/>
    <w:rsid w:val="009D7A68"/>
    <w:rsid w:val="00A51DBA"/>
    <w:rsid w:val="00B20DA6"/>
    <w:rsid w:val="00B457AF"/>
    <w:rsid w:val="00C818FB"/>
    <w:rsid w:val="00CC0451"/>
    <w:rsid w:val="00CD1615"/>
    <w:rsid w:val="00D6665C"/>
    <w:rsid w:val="00D900BD"/>
    <w:rsid w:val="00E56A8E"/>
    <w:rsid w:val="00E76813"/>
    <w:rsid w:val="00F44E4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088aa70a-9079-4104-81cd-b3bf59b0ea77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2024-10-09T10:56:30.959696-04:00</T_BILL_DT_VERSION>
  <T_BILL_D_PREFILEDATE>2024-12-05</T_BILL_D_PREFILEDATE>
  <T_BILL_N_INTERNALVERSIONNUMBER>1</T_BILL_N_INTERNALVERSIONNUMBER>
  <T_BILL_N_SESSION>126</T_BILL_N_SESSION>
  <T_BILL_N_VERSIONNUMBER>1</T_BILL_N_VERSIONNUMBER>
  <T_BILL_N_YEAR>2025</T_BILL_N_YEAR>
  <T_BILL_REQUEST_REQUEST>f8151e75-938d-4e53-9697-02712ffa6188</T_BILL_REQUEST_REQUEST>
  <T_BILL_R_ORIGINALDRAFT>9a2d2731-65e1-4be6-8f47-e3370e6d8c11</T_BILL_R_ORIGINALDRAFT>
  <T_BILL_SPONSOR_SPONSOR>34d68c5d-7440-4409-b499-df306f865af8</T_BILL_SPONSOR_SPONSOR>
  <T_BILL_T_BILLNAME>[3346]</T_BILL_T_BILLNAME>
  <T_BILL_T_BILLNUMBER>3346</T_BILL_T_BILLNUMBER>
  <T_BILL_T_BILLTITLE>TO AMEND THE SOUTH CAROLINA CODE OF LAWS BY ENACTING THE “SOUTH CAROLINA RENT CONTROL ACT” BY ADDING SECTION 27‑39‑370 SO AS TO PROVIDE RESTRICTIONS ON RAISING RESIDENTIAL RENT.</T_BILL_T_BILLTITLE>
  <T_BILL_T_CHAMBER>house</T_BILL_T_CHAMBER>
  <T_BILL_T_FILENAME> </T_BILL_T_FILENAME>
  <T_BILL_T_LEGTYPE>bill_statewide</T_BILL_T_LEGTYPE>
  <T_BILL_T_RATNUMBERSTRING>HNone</T_BILL_T_RATNUMBERSTRING>
  <T_BILL_T_SECTIONS>[{"SectionUUID":"32527ac5-adec-4afc-84ea-0247550b8e11","SectionName":"Citing an Act","SectionNumber":1,"SectionType":"new","CodeSections":[],"TitleText":"by enacting the “South Carolina Rent Control Act”","DisableControls":false,"Deleted":false,"RepealItems":[],"SectionBookmarkName":"bs_num_1_2d874494b"},{"SectionUUID":"e743ce09-75e4-43db-83ce-b63b73aae7b0","SectionName":"code_section","SectionNumber":2,"SectionType":"code_section","CodeSections":[{"CodeSectionBookmarkName":"ns_T27C39N370_f0e9930de","IsConstitutionSection":false,"Identity":"27-39-370","IsNew":true,"SubSections":[{"Level":1,"Identity":"T27C39N370SA","SubSectionBookmarkName":"ss_T27C39N370SA_lv1_64fa28459","IsNewSubSection":false,"SubSectionReplacement":""},{"Level":1,"Identity":"T27C39N370SB","SubSectionBookmarkName":"ss_T27C39N370SB_lv1_49b849574","IsNewSubSection":false,"SubSectionReplacement":""},{"Level":2,"Identity":"T27C39N370S1","SubSectionBookmarkName":"ss_T27C39N370S1_lv2_6544be829","IsNewSubSection":false,"SubSectionReplacement":""},{"Level":2,"Identity":"T27C39N370S2","SubSectionBookmarkName":"ss_T27C39N370S2_lv2_5e4e78c54","IsNewSubSection":false,"SubSectionReplacement":""},{"Level":2,"Identity":"T27C39N370S3","SubSectionBookmarkName":"ss_T27C39N370S3_lv2_78ff0d1ee","IsNewSubSection":false,"SubSectionReplacement":""},{"Level":1,"Identity":"T27C39N370SC","SubSectionBookmarkName":"ss_T27C39N370SC_lv1_ad96c0a0e","IsNewSubSection":false,"SubSectionReplacement":""},{"Level":2,"Identity":"T27C39N370S1","SubSectionBookmarkName":"ss_T27C39N370S1_lv2_2f5013b27","IsNewSubSection":false,"SubSectionReplacement":""},{"Level":2,"Identity":"T27C39N370S2","SubSectionBookmarkName":"ss_T27C39N370S2_lv2_b6979046c","IsNewSubSection":false,"SubSectionReplacement":""},{"Level":2,"Identity":"T27C39N370S3","SubSectionBookmarkName":"ss_T27C39N370S3_lv2_10e753c01","IsNewSubSection":false,"SubSectionReplacement":""},{"Level":2,"Identity":"T27C39N370S4","SubSectionBookmarkName":"ss_T27C39N370S4_lv2_60aa16515","IsNewSubSection":false,"SubSectionReplacement":""},{"Level":1,"Identity":"T27C39N370SD","SubSectionBookmarkName":"ss_T27C39N370SD_lv1_6e12a01dd","IsNewSubSection":false,"SubSectionReplacement":""},{"Level":1,"Identity":"T27C39N370SE","SubSectionBookmarkName":"ss_T27C39N370SE_lv1_ee9f48e61","IsNewSubSection":false,"SubSectionReplacement":""},{"Level":2,"Identity":"T27C39N370S1","SubSectionBookmarkName":"ss_T27C39N370S1_lv2_ed564b4b0","IsNewSubSection":false,"SubSectionReplacement":""},{"Level":2,"Identity":"T27C39N370S2","SubSectionBookmarkName":"ss_T27C39N370S2_lv2_5db1ae3dd","IsNewSubSection":false,"SubSectionReplacement":""},{"Level":1,"Identity":"T27C39N370SF","SubSectionBookmarkName":"ss_T27C39N370SF_lv1_8a9d4bed0","IsNewSubSection":false,"SubSectionReplacement":""},{"Level":1,"Identity":"T27C39N370SG","SubSectionBookmarkName":"ss_T27C39N370SG_lv1_efcbb301b","IsNewSubSection":false,"SubSectionReplacement":""}],"TitleRelatedTo":"","TitleSoAsTo":"provide restrictions on raising residential rent","Deleted":false}],"TitleText":"","DisableControls":false,"Deleted":false,"RepealItems":[],"SectionBookmarkName":"bs_num_2_41bb3e356"},{"SectionUUID":"8f03ca95-8faa-4d43-a9c2-8afc498075bd","SectionName":"standard_eff_date_section","SectionNumber":3,"SectionType":"drafting_clause","CodeSections":[],"TitleText":"","DisableControls":false,"Deleted":false,"RepealItems":[],"SectionBookmarkName":"bs_num_3_lastsection"}]</T_BILL_T_SECTIONS>
  <T_BILL_T_SUBJECT>South Carolina Rent Control Act</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2071</Characters>
  <Application>Microsoft Office Word</Application>
  <DocSecurity>0</DocSecurity>
  <Lines>51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2024-10-10T15:32:00Z</cp:lastPrinted>
  <dcterms:created xsi:type="dcterms:W3CDTF">2024-11-25T19:15:00Z</dcterms:created>
  <dcterms:modified xsi:type="dcterms:W3CDTF">2024-11-25T19:15:00Z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