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LC-0176SA25.docx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Housing Development Revenue Enhancement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2c6656c0b7d3432b">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f64f8cd850e3433a">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b3edc6b23447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fca9c51bb043a3">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230A" w:rsidRDefault="00432135" w14:paraId="47642A99" w14:textId="46AD5627">
      <w:pPr>
        <w:pStyle w:val="scemptylineheader"/>
      </w:pPr>
      <w:bookmarkStart w:name="open_doc_here" w:id="0"/>
      <w:bookmarkEnd w:id="0"/>
    </w:p>
    <w:p w:rsidRPr="00BB0725" w:rsidR="00A73EFA" w:rsidP="0075230A" w:rsidRDefault="00A73EFA" w14:paraId="7B72410E" w14:textId="02CEF4CE">
      <w:pPr>
        <w:pStyle w:val="scemptylineheader"/>
      </w:pPr>
    </w:p>
    <w:p w:rsidRPr="00BB0725" w:rsidR="00A73EFA" w:rsidP="0075230A" w:rsidRDefault="00A73EFA" w14:paraId="6AD935C9" w14:textId="5892461F">
      <w:pPr>
        <w:pStyle w:val="scemptylineheader"/>
      </w:pPr>
    </w:p>
    <w:p w:rsidRPr="00DF3B44" w:rsidR="00A73EFA" w:rsidP="0075230A" w:rsidRDefault="00A73EFA" w14:paraId="51A98227" w14:textId="7E98F172">
      <w:pPr>
        <w:pStyle w:val="scemptylineheader"/>
      </w:pPr>
    </w:p>
    <w:p w:rsidRPr="00DF3B44" w:rsidR="00A73EFA" w:rsidP="0075230A" w:rsidRDefault="00A73EFA" w14:paraId="3858851A" w14:textId="4C739F9E">
      <w:pPr>
        <w:pStyle w:val="scemptylineheader"/>
      </w:pPr>
    </w:p>
    <w:p w:rsidRPr="00DF3B44" w:rsidR="00A73EFA" w:rsidP="0075230A" w:rsidRDefault="00A73EFA" w14:paraId="4E3DDE20" w14:textId="0ABF5E5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7C8A" w14:paraId="40FEFADA" w14:textId="2B4E235F">
          <w:pPr>
            <w:pStyle w:val="scbilltitle"/>
          </w:pPr>
          <w:r>
            <w:t>TO AMEND THE SOUTH CAROLINA CODE OF LAWS BY ENACTING THE “SOUTH CAROLINA HOUSING DEVELOPMENT REVENUE ENHANCEMENT ACT” BY ADDING SECTION 31‑3‑1700 SO AS TO ENABLE HOUSING AUTHORITIES TO UTILIZE TAX INCREMENT FINANCING (TIF) AND OTHER REVENUE MECHANISMS TO SUPPORT THE DEVELOPMENT AND FINANCING OF AFFORDABLE HOUSING, ENCOURAGE PUBLIC‑PRIVATE PARTNERSHIPS, AND INCLUDE PROJECT‑GENERATED REVENUES AS A SECONDARY SOURCE OF REPAYMENT FOR BONDS ISSUED.</w:t>
          </w:r>
        </w:p>
      </w:sdtContent>
    </w:sdt>
    <w:bookmarkStart w:name="at_e4c67ea9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5fb4c9b" w:id="2"/>
      <w:r w:rsidRPr="0094541D">
        <w:t>B</w:t>
      </w:r>
      <w:bookmarkEnd w:id="2"/>
      <w:r w:rsidRPr="0094541D">
        <w:t>e it enacted by the General Assembly of the State of South Carolina:</w:t>
      </w:r>
    </w:p>
    <w:p w:rsidR="001D3008" w:rsidP="001D3008" w:rsidRDefault="001D3008" w14:paraId="0386BDDF" w14:textId="77777777">
      <w:pPr>
        <w:pStyle w:val="scemptyline"/>
      </w:pPr>
    </w:p>
    <w:p w:rsidR="001D3008" w:rsidP="00402D44" w:rsidRDefault="001D3008" w14:paraId="1299CFC0" w14:textId="0737968E">
      <w:pPr>
        <w:pStyle w:val="scnoncodifiedsection"/>
      </w:pPr>
      <w:bookmarkStart w:name="bs_num_1_12df318f1" w:id="3"/>
      <w:bookmarkStart w:name="citing_act_0c152eae4" w:id="4"/>
      <w:r>
        <w:t>S</w:t>
      </w:r>
      <w:bookmarkEnd w:id="3"/>
      <w:r>
        <w:t>ECTION 1.</w:t>
      </w:r>
      <w:r>
        <w:tab/>
      </w:r>
      <w:bookmarkEnd w:id="4"/>
      <w:r w:rsidR="00402D44">
        <w:rPr>
          <w:shd w:val="clear" w:color="auto" w:fill="FFFFFF"/>
        </w:rPr>
        <w:t>This act may be cited as the “</w:t>
      </w:r>
      <w:r w:rsidRPr="0050041A" w:rsidR="0050041A">
        <w:rPr>
          <w:shd w:val="clear" w:color="auto" w:fill="FFFFFF"/>
        </w:rPr>
        <w:t>South Carolina Housing Development Revenue Enhancement Act</w:t>
      </w:r>
      <w:r w:rsidR="0050041A">
        <w:rPr>
          <w:shd w:val="clear" w:color="auto" w:fill="FFFFFF"/>
        </w:rPr>
        <w:t>.</w:t>
      </w:r>
      <w:r w:rsidR="00402D44">
        <w:rPr>
          <w:shd w:val="clear" w:color="auto" w:fill="FFFFFF"/>
        </w:rPr>
        <w:t>”</w:t>
      </w:r>
    </w:p>
    <w:p w:rsidR="0050041A" w:rsidP="0050041A" w:rsidRDefault="0050041A" w14:paraId="5A257CBC" w14:textId="77777777">
      <w:pPr>
        <w:pStyle w:val="scemptyline"/>
      </w:pPr>
    </w:p>
    <w:p w:rsidR="00A52D35" w:rsidP="00A52D35" w:rsidRDefault="0050041A" w14:paraId="1F40C8F2" w14:textId="77777777">
      <w:pPr>
        <w:pStyle w:val="scnoncodifiedsection"/>
      </w:pPr>
      <w:bookmarkStart w:name="bs_num_2_f2b8418b7" w:id="5"/>
      <w:r>
        <w:t>S</w:t>
      </w:r>
      <w:bookmarkEnd w:id="5"/>
      <w:r>
        <w:t>ECTION 2.</w:t>
      </w:r>
      <w:r>
        <w:tab/>
      </w:r>
      <w:r w:rsidR="00A52D35">
        <w:t>The General Assembly finds that:</w:t>
      </w:r>
    </w:p>
    <w:p w:rsidR="00A52D35" w:rsidP="00A52D35" w:rsidRDefault="00A52D35" w14:paraId="1369AB4E" w14:textId="5CA8EFC9">
      <w:pPr>
        <w:pStyle w:val="scnoncodifiedsection"/>
      </w:pPr>
      <w:r>
        <w:tab/>
      </w:r>
      <w:r>
        <w:tab/>
      </w:r>
      <w:bookmarkStart w:name="up_62d8fa025" w:id="6"/>
      <w:r>
        <w:t>(</w:t>
      </w:r>
      <w:bookmarkEnd w:id="6"/>
      <w:r>
        <w:t>1) Affordable housing is essential for economic development, workforce stability, and community well‑being.</w:t>
      </w:r>
    </w:p>
    <w:p w:rsidR="00A52D35" w:rsidP="00A52D35" w:rsidRDefault="00A52D35" w14:paraId="57DD9C70" w14:textId="17377DBA">
      <w:pPr>
        <w:pStyle w:val="scnoncodifiedsection"/>
      </w:pPr>
      <w:r>
        <w:tab/>
      </w:r>
      <w:r>
        <w:tab/>
      </w:r>
      <w:bookmarkStart w:name="up_5deab891a" w:id="7"/>
      <w:r>
        <w:t>(</w:t>
      </w:r>
      <w:bookmarkEnd w:id="7"/>
      <w:r>
        <w:t>2) Current funding mechanisms limit the ability of housing authorities to address the growing demand for affordable housing.</w:t>
      </w:r>
    </w:p>
    <w:p w:rsidR="00A52D35" w:rsidP="00A52D35" w:rsidRDefault="00A52D35" w14:paraId="6BC74B01" w14:textId="675953F7">
      <w:pPr>
        <w:pStyle w:val="scnoncodifiedsection"/>
      </w:pPr>
      <w:r>
        <w:tab/>
      </w:r>
      <w:r>
        <w:tab/>
      </w:r>
      <w:bookmarkStart w:name="up_d9f597a2e" w:id="8"/>
      <w:r>
        <w:t>(</w:t>
      </w:r>
      <w:bookmarkEnd w:id="8"/>
      <w:r>
        <w:t>3) Expanding revenue streams, including Tax Increment Financing (TIF), project‑generated revenues, and public‑private partnerships, will empower local communities to finance affordable housing while maintaining fiscal responsibility.</w:t>
      </w:r>
    </w:p>
    <w:p w:rsidR="0050041A" w:rsidP="00A52D35" w:rsidRDefault="00A52D35" w14:paraId="06F4849B" w14:textId="00E8B322">
      <w:pPr>
        <w:pStyle w:val="scnoncodifiedsection"/>
      </w:pPr>
      <w:r>
        <w:tab/>
      </w:r>
      <w:r>
        <w:tab/>
      </w:r>
      <w:bookmarkStart w:name="up_656b64a81" w:id="9"/>
      <w:r>
        <w:t>(</w:t>
      </w:r>
      <w:bookmarkEnd w:id="9"/>
      <w:r>
        <w:t>4) This act establishes tools for housing authorities to support housing development, encourage private sector investment, and ensure economic growth in underserved areas.</w:t>
      </w:r>
    </w:p>
    <w:p w:rsidR="00A52D35" w:rsidP="00A52D35" w:rsidRDefault="00A52D35" w14:paraId="761F9FC5" w14:textId="77777777">
      <w:pPr>
        <w:pStyle w:val="scemptyline"/>
      </w:pPr>
    </w:p>
    <w:p w:rsidR="00012478" w:rsidP="00012478" w:rsidRDefault="00A52D35" w14:paraId="03E775BB" w14:textId="77777777">
      <w:pPr>
        <w:pStyle w:val="scdirectionallanguage"/>
      </w:pPr>
      <w:bookmarkStart w:name="bs_num_3_c9351b3cb" w:id="10"/>
      <w:r>
        <w:t>S</w:t>
      </w:r>
      <w:bookmarkEnd w:id="10"/>
      <w:r>
        <w:t>ECTION 3.</w:t>
      </w:r>
      <w:r>
        <w:tab/>
      </w:r>
      <w:bookmarkStart w:name="dl_b69dd23c5" w:id="11"/>
      <w:r w:rsidR="00012478">
        <w:t>A</w:t>
      </w:r>
      <w:bookmarkEnd w:id="11"/>
      <w:r w:rsidR="00012478">
        <w:t>rticle 13, Chapter 3, Title 31 of the S.C. Code is amended by adding:</w:t>
      </w:r>
    </w:p>
    <w:p w:rsidR="00012478" w:rsidP="00012478" w:rsidRDefault="00012478" w14:paraId="3F2F3A33" w14:textId="77777777">
      <w:pPr>
        <w:pStyle w:val="scnewcodesection"/>
      </w:pPr>
    </w:p>
    <w:p w:rsidR="00067D4E" w:rsidP="00067D4E" w:rsidRDefault="00012478" w14:paraId="52482692" w14:textId="4B128830">
      <w:pPr>
        <w:pStyle w:val="scnewcodesection"/>
      </w:pPr>
      <w:r>
        <w:tab/>
      </w:r>
      <w:bookmarkStart w:name="ns_T31C3N1700_b842bc5e4" w:id="12"/>
      <w:r>
        <w:t>S</w:t>
      </w:r>
      <w:bookmarkEnd w:id="12"/>
      <w:r>
        <w:t>ection 31‑3‑1700.</w:t>
      </w:r>
      <w:r>
        <w:tab/>
      </w:r>
      <w:bookmarkStart w:name="ss_T31C3N1700SA_lv1_bef1ea955" w:id="13"/>
      <w:r w:rsidR="00067D4E">
        <w:t>(</w:t>
      </w:r>
      <w:bookmarkEnd w:id="13"/>
      <w:r w:rsidR="00067D4E">
        <w:t>A)(1) Housing authorities, in collaboration with municipal or county governments, are authorized to establish Tax Increment Financing (TIF) districts</w:t>
      </w:r>
      <w:r w:rsidR="001876A0">
        <w:t>, as authorized pursuant to Chapter 6, Title 31,</w:t>
      </w:r>
      <w:r w:rsidR="00067D4E">
        <w:t xml:space="preserve"> for the purpose of financing affordable housing projects.</w:t>
      </w:r>
    </w:p>
    <w:p w:rsidR="00067D4E" w:rsidP="00067D4E" w:rsidRDefault="00067D4E" w14:paraId="34FCA1D5" w14:textId="1D68AF1D">
      <w:pPr>
        <w:pStyle w:val="scnewcodesection"/>
      </w:pPr>
      <w:r>
        <w:tab/>
      </w:r>
      <w:r>
        <w:tab/>
      </w:r>
      <w:bookmarkStart w:name="ss_T31C3N1700S2_lv2_9ec567890" w:id="14"/>
      <w:r>
        <w:t>(</w:t>
      </w:r>
      <w:bookmarkEnd w:id="14"/>
      <w:r>
        <w:t>2) Incremental tax revenues generated within a designated TIF district may be allocated to:</w:t>
      </w:r>
    </w:p>
    <w:p w:rsidR="00067D4E" w:rsidP="00067D4E" w:rsidRDefault="00067D4E" w14:paraId="5AD92658" w14:textId="2D92281B">
      <w:pPr>
        <w:pStyle w:val="scnewcodesection"/>
      </w:pPr>
      <w:r>
        <w:tab/>
      </w:r>
      <w:r>
        <w:tab/>
      </w:r>
      <w:r>
        <w:tab/>
      </w:r>
      <w:bookmarkStart w:name="ss_T31C3N1700Sa_lv3_27275e2ae" w:id="15"/>
      <w:r>
        <w:t>(</w:t>
      </w:r>
      <w:bookmarkEnd w:id="15"/>
      <w:r>
        <w:t>a) construction, renovation, or expansion of affordable housing projects;</w:t>
      </w:r>
    </w:p>
    <w:p w:rsidR="00067D4E" w:rsidP="00067D4E" w:rsidRDefault="00067D4E" w14:paraId="57A0E020" w14:textId="0C1BAF30">
      <w:pPr>
        <w:pStyle w:val="scnewcodesection"/>
      </w:pPr>
      <w:r>
        <w:lastRenderedPageBreak/>
        <w:tab/>
      </w:r>
      <w:r>
        <w:tab/>
      </w:r>
      <w:r>
        <w:tab/>
      </w:r>
      <w:bookmarkStart w:name="ss_T31C3N1700Sb_lv3_0b5ddd16d" w:id="16"/>
      <w:r>
        <w:t>(</w:t>
      </w:r>
      <w:bookmarkEnd w:id="16"/>
      <w:r>
        <w:t>b) infrastructure improvements necessary for housing development, including roads, utilities, and public services; and</w:t>
      </w:r>
    </w:p>
    <w:p w:rsidR="00A52D35" w:rsidP="00067D4E" w:rsidRDefault="00067D4E" w14:paraId="0001F138" w14:textId="7AA93933">
      <w:pPr>
        <w:pStyle w:val="scnewcodesection"/>
      </w:pPr>
      <w:r>
        <w:tab/>
      </w:r>
      <w:r>
        <w:tab/>
      </w:r>
      <w:r>
        <w:tab/>
      </w:r>
      <w:bookmarkStart w:name="ss_T31C3N1700Sc_lv3_a7b0cfab6" w:id="17"/>
      <w:r>
        <w:t>(</w:t>
      </w:r>
      <w:bookmarkEnd w:id="17"/>
      <w:r>
        <w:t>c) acquisition of land for affordable housing development or land banking for future projects.</w:t>
      </w:r>
    </w:p>
    <w:p w:rsidR="00067D4E" w:rsidP="00067D4E" w:rsidRDefault="00067D4E" w14:paraId="2F6EE496" w14:textId="5C19E101">
      <w:pPr>
        <w:pStyle w:val="scnewcodesection"/>
      </w:pPr>
      <w:r>
        <w:tab/>
      </w:r>
      <w:bookmarkStart w:name="ss_T31C3N1700SB_lv1_31eff4735" w:id="18"/>
      <w:r>
        <w:t>(</w:t>
      </w:r>
      <w:bookmarkEnd w:id="18"/>
      <w:r>
        <w:t xml:space="preserve">B) </w:t>
      </w:r>
      <w:r w:rsidRPr="00067D4E">
        <w:t>Housing authorities may enter into agreements with municipal or county governments to allocate portions of local sales tax revenues or property tax revenues specifically for affordable housing projects.</w:t>
      </w:r>
    </w:p>
    <w:p w:rsidR="00067D4E" w:rsidP="00067D4E" w:rsidRDefault="00067D4E" w14:paraId="2BA8F646" w14:textId="67F241C1">
      <w:pPr>
        <w:pStyle w:val="scnewcodesection"/>
      </w:pPr>
      <w:r>
        <w:tab/>
      </w:r>
      <w:bookmarkStart w:name="ss_T31C3N1700SC_lv1_b35464790" w:id="19"/>
      <w:r>
        <w:t>(</w:t>
      </w:r>
      <w:bookmarkEnd w:id="19"/>
      <w:r>
        <w:t>C)</w:t>
      </w:r>
      <w:bookmarkStart w:name="ss_T31C3N1700S1_lv2_592931065" w:id="20"/>
      <w:r>
        <w:t>(</w:t>
      </w:r>
      <w:bookmarkEnd w:id="20"/>
      <w:r>
        <w:t>1) Housing authorities may impose impact fees on new commercial and residential developments within a designated TIF district to support affordable housing development.</w:t>
      </w:r>
    </w:p>
    <w:p w:rsidR="00067D4E" w:rsidP="00067D4E" w:rsidRDefault="00067D4E" w14:paraId="39898CCE" w14:textId="456F36B4">
      <w:pPr>
        <w:pStyle w:val="scnewcodesection"/>
      </w:pPr>
      <w:r>
        <w:tab/>
      </w:r>
      <w:r>
        <w:tab/>
      </w:r>
      <w:bookmarkStart w:name="ss_T31C3N1700S2_lv2_3cf8055f2" w:id="21"/>
      <w:r>
        <w:t>(</w:t>
      </w:r>
      <w:bookmarkEnd w:id="21"/>
      <w:r>
        <w:t>2) Fees must be reasonably related to the housing needs generated by the development and approved by the governing body of the municipality or county.</w:t>
      </w:r>
    </w:p>
    <w:p w:rsidR="00067D4E" w:rsidP="00067D4E" w:rsidRDefault="00067D4E" w14:paraId="75B005D6" w14:textId="0F12A667">
      <w:pPr>
        <w:pStyle w:val="scnewcodesection"/>
      </w:pPr>
      <w:r>
        <w:tab/>
      </w:r>
      <w:bookmarkStart w:name="ss_T31C3N1700SD_lv1_98f2e9fd8" w:id="22"/>
      <w:r>
        <w:t>(</w:t>
      </w:r>
      <w:bookmarkEnd w:id="22"/>
      <w:r>
        <w:t xml:space="preserve">D) </w:t>
      </w:r>
      <w:r w:rsidRPr="00067D4E">
        <w:t>Housing authorities may establish local housing trust funds, financed by TIF revenues, impact fees, voluntary contributions, or grants, to provide ongoing support for affordable housing development and maintenance.</w:t>
      </w:r>
    </w:p>
    <w:p w:rsidR="00067D4E" w:rsidP="00067D4E" w:rsidRDefault="00067D4E" w14:paraId="4E82F258" w14:textId="1B13173A">
      <w:pPr>
        <w:pStyle w:val="scnewcodesection"/>
      </w:pPr>
      <w:r>
        <w:tab/>
      </w:r>
      <w:bookmarkStart w:name="ss_T31C3N1700SE_lv1_cd6734615" w:id="23"/>
      <w:r>
        <w:t>(</w:t>
      </w:r>
      <w:bookmarkEnd w:id="23"/>
      <w:r>
        <w:t>E)</w:t>
      </w:r>
      <w:bookmarkStart w:name="ss_T31C3N1700S1_lv2_0b36a4d05" w:id="24"/>
      <w:r>
        <w:t>(</w:t>
      </w:r>
      <w:bookmarkEnd w:id="24"/>
      <w:r>
        <w:t>1) In addition to incremental tax revenues collected from the TIF district, housing authorities may use project‑generated revenues as a secondary source of repayment for bonds or loans issued under this section.</w:t>
      </w:r>
    </w:p>
    <w:p w:rsidR="00067D4E" w:rsidP="00067D4E" w:rsidRDefault="00067D4E" w14:paraId="1097FBC1" w14:textId="710AFB1F">
      <w:pPr>
        <w:pStyle w:val="scnewcodesection"/>
      </w:pPr>
      <w:r>
        <w:tab/>
      </w:r>
      <w:r>
        <w:tab/>
      </w:r>
      <w:bookmarkStart w:name="ss_T31C3N1700S2_lv2_71c665790" w:id="25"/>
      <w:r>
        <w:t>(</w:t>
      </w:r>
      <w:bookmarkEnd w:id="25"/>
      <w:r>
        <w:t>2) Eligible project‑generated revenues may include:</w:t>
      </w:r>
    </w:p>
    <w:p w:rsidR="00067D4E" w:rsidP="00067D4E" w:rsidRDefault="00067D4E" w14:paraId="31A1D02A" w14:textId="4F43FB26">
      <w:pPr>
        <w:pStyle w:val="scnewcodesection"/>
      </w:pPr>
      <w:r>
        <w:tab/>
      </w:r>
      <w:r>
        <w:tab/>
      </w:r>
      <w:r>
        <w:tab/>
      </w:r>
      <w:bookmarkStart w:name="ss_T31C3N1700Sa_lv3_31d1f4053" w:id="26"/>
      <w:r>
        <w:t>(</w:t>
      </w:r>
      <w:bookmarkEnd w:id="26"/>
      <w:r>
        <w:t>a) rental income from housing units within the development;</w:t>
      </w:r>
    </w:p>
    <w:p w:rsidR="00067D4E" w:rsidP="00067D4E" w:rsidRDefault="00067D4E" w14:paraId="27BBA5D0" w14:textId="2B4AE002">
      <w:pPr>
        <w:pStyle w:val="scnewcodesection"/>
      </w:pPr>
      <w:r>
        <w:tab/>
      </w:r>
      <w:r>
        <w:tab/>
      </w:r>
      <w:r>
        <w:tab/>
      </w:r>
      <w:bookmarkStart w:name="ss_T31C3N1700Sb_lv3_97c6c6927" w:id="27"/>
      <w:r>
        <w:t>(</w:t>
      </w:r>
      <w:bookmarkEnd w:id="27"/>
      <w:r>
        <w:t>b) lease payments from retail or commercial tenants; and</w:t>
      </w:r>
    </w:p>
    <w:p w:rsidR="00067D4E" w:rsidP="00067D4E" w:rsidRDefault="00067D4E" w14:paraId="64D4EC22" w14:textId="050C13AA">
      <w:pPr>
        <w:pStyle w:val="scnewcodesection"/>
      </w:pPr>
      <w:r>
        <w:tab/>
      </w:r>
      <w:r>
        <w:tab/>
      </w:r>
      <w:r>
        <w:tab/>
      </w:r>
      <w:bookmarkStart w:name="ss_T31C3N1700Sc_lv3_dbafde97d" w:id="28"/>
      <w:r>
        <w:t>(</w:t>
      </w:r>
      <w:bookmarkEnd w:id="28"/>
      <w:r>
        <w:t>c) fees or service charges collected from residents or users of the property.</w:t>
      </w:r>
    </w:p>
    <w:p w:rsidR="00067D4E" w:rsidP="00067D4E" w:rsidRDefault="00067D4E" w14:paraId="33599B73" w14:textId="54748CAE">
      <w:pPr>
        <w:pStyle w:val="scnewcodesection"/>
      </w:pPr>
      <w:r>
        <w:tab/>
      </w:r>
      <w:r>
        <w:tab/>
      </w:r>
      <w:bookmarkStart w:name="ss_T31C3N1700S3_lv2_85a7bdd97" w:id="29"/>
      <w:r>
        <w:t>(</w:t>
      </w:r>
      <w:bookmarkEnd w:id="29"/>
      <w:r>
        <w:t>3) Secondary repayment sources only may be utilized if incremental tax revenues are insufficient to meet repayment obligations.</w:t>
      </w:r>
    </w:p>
    <w:p w:rsidR="00067D4E" w:rsidP="00067D4E" w:rsidRDefault="00067D4E" w14:paraId="7B713E16" w14:textId="77777777">
      <w:pPr>
        <w:pStyle w:val="scnewcodesection"/>
      </w:pPr>
      <w:r>
        <w:tab/>
      </w:r>
      <w:bookmarkStart w:name="ss_T31C3N1700SF_lv1_fd7a1e420" w:id="30"/>
      <w:r>
        <w:t>(</w:t>
      </w:r>
      <w:bookmarkEnd w:id="30"/>
      <w:r>
        <w:t>F)</w:t>
      </w:r>
      <w:bookmarkStart w:name="ss_T31C3N1700S1_lv2_7a538af24" w:id="31"/>
      <w:r>
        <w:t>(</w:t>
      </w:r>
      <w:bookmarkEnd w:id="31"/>
      <w:r>
        <w:t>1) Housing authorities are encouraged to form public‑private partnerships to leverage private investment and expertise for affordable housing projects.</w:t>
      </w:r>
    </w:p>
    <w:p w:rsidR="00067D4E" w:rsidP="00067D4E" w:rsidRDefault="00067D4E" w14:paraId="4267CB60" w14:textId="5B6F3ACC">
      <w:pPr>
        <w:pStyle w:val="scnewcodesection"/>
      </w:pPr>
      <w:r>
        <w:tab/>
      </w:r>
      <w:r>
        <w:tab/>
      </w:r>
      <w:bookmarkStart w:name="ss_T31C3N1700S2_lv2_d4779473b" w:id="32"/>
      <w:r>
        <w:t>(</w:t>
      </w:r>
      <w:bookmarkEnd w:id="32"/>
      <w:r>
        <w:t>2) Housing authorities may:</w:t>
      </w:r>
    </w:p>
    <w:p w:rsidR="00067D4E" w:rsidP="00067D4E" w:rsidRDefault="00067D4E" w14:paraId="22F2059B" w14:textId="2890D923">
      <w:pPr>
        <w:pStyle w:val="scnewcodesection"/>
      </w:pPr>
      <w:r>
        <w:tab/>
      </w:r>
      <w:r>
        <w:tab/>
      </w:r>
      <w:r>
        <w:tab/>
      </w:r>
      <w:bookmarkStart w:name="ss_T31C3N1700Sa_lv3_d548ae674" w:id="33"/>
      <w:r>
        <w:t>(</w:t>
      </w:r>
      <w:bookmarkEnd w:id="33"/>
      <w:r>
        <w:t>a) enter joint ventures with private developers to create mixed‑income and mixed‑use developments;</w:t>
      </w:r>
    </w:p>
    <w:p w:rsidR="00067D4E" w:rsidP="00067D4E" w:rsidRDefault="00067D4E" w14:paraId="39CDDC15" w14:textId="0171CECB">
      <w:pPr>
        <w:pStyle w:val="scnewcodesection"/>
      </w:pPr>
      <w:r>
        <w:tab/>
      </w:r>
      <w:r>
        <w:tab/>
      </w:r>
      <w:r>
        <w:tab/>
      </w:r>
      <w:bookmarkStart w:name="ss_T31C3N1700Sb_lv3_94c9c72f7" w:id="34"/>
      <w:r>
        <w:t>(</w:t>
      </w:r>
      <w:bookmarkEnd w:id="34"/>
      <w:r>
        <w:t>b) establish build‑to‑lease agreements with private firms; and</w:t>
      </w:r>
    </w:p>
    <w:p w:rsidR="00067D4E" w:rsidP="00067D4E" w:rsidRDefault="00067D4E" w14:paraId="02CC713B" w14:textId="700536B8">
      <w:pPr>
        <w:pStyle w:val="scnewcodesection"/>
      </w:pPr>
      <w:r>
        <w:tab/>
      </w:r>
      <w:r>
        <w:tab/>
      </w:r>
      <w:r>
        <w:tab/>
      </w:r>
      <w:bookmarkStart w:name="ss_T31C3N1700Sc_lv3_8b02ae5df" w:id="35"/>
      <w:r>
        <w:t>(</w:t>
      </w:r>
      <w:bookmarkEnd w:id="35"/>
      <w:r>
        <w:t>c) offer tax incentives or other benefits to private entities contributing to affordable housing development within TIF districts.</w:t>
      </w:r>
    </w:p>
    <w:p w:rsidR="00067D4E" w:rsidP="00067D4E" w:rsidRDefault="00067D4E" w14:paraId="31237A6A" w14:textId="3943312D">
      <w:pPr>
        <w:pStyle w:val="scnewcodesection"/>
      </w:pPr>
      <w:r>
        <w:tab/>
      </w:r>
      <w:bookmarkStart w:name="ss_T31C3N1700SG_lv1_0ca0eb4c2" w:id="36"/>
      <w:r>
        <w:t>(</w:t>
      </w:r>
      <w:bookmarkEnd w:id="36"/>
      <w:r>
        <w:t>G) Any TIF district or revenue‑sharing agreement created under this section must:</w:t>
      </w:r>
    </w:p>
    <w:p w:rsidR="00067D4E" w:rsidP="00067D4E" w:rsidRDefault="00067D4E" w14:paraId="391C0E7F" w14:textId="1C2B5E93">
      <w:pPr>
        <w:pStyle w:val="scnewcodesection"/>
      </w:pPr>
      <w:r>
        <w:tab/>
      </w:r>
      <w:r>
        <w:tab/>
      </w:r>
      <w:bookmarkStart w:name="ss_T31C3N1700S1_lv2_8ad481f54" w:id="37"/>
      <w:r>
        <w:t>(</w:t>
      </w:r>
      <w:bookmarkEnd w:id="37"/>
      <w:r>
        <w:t>1) be approved by the governing body of the municipality or county in which the housing authority operates;</w:t>
      </w:r>
    </w:p>
    <w:p w:rsidR="00067D4E" w:rsidP="00067D4E" w:rsidRDefault="00067D4E" w14:paraId="0464FDC0" w14:textId="4765DB5F">
      <w:pPr>
        <w:pStyle w:val="scnewcodesection"/>
      </w:pPr>
      <w:r>
        <w:tab/>
      </w:r>
      <w:r>
        <w:tab/>
      </w:r>
      <w:bookmarkStart w:name="ss_T31C3N1700S2_lv2_6d7037958" w:id="38"/>
      <w:r>
        <w:t>(</w:t>
      </w:r>
      <w:bookmarkEnd w:id="38"/>
      <w:r>
        <w:t>2) include a detailed financial plan outlining the use of funds, projected revenues, and expected outcomes; and</w:t>
      </w:r>
    </w:p>
    <w:p w:rsidR="00067D4E" w:rsidP="00067D4E" w:rsidRDefault="00067D4E" w14:paraId="31675989" w14:textId="3EF91BA4">
      <w:pPr>
        <w:pStyle w:val="scnewcodesection"/>
      </w:pPr>
      <w:r>
        <w:tab/>
      </w:r>
      <w:r>
        <w:tab/>
      </w:r>
      <w:bookmarkStart w:name="ss_T31C3N1700S3_lv2_d3bc318c1" w:id="39"/>
      <w:r>
        <w:t>(</w:t>
      </w:r>
      <w:bookmarkEnd w:id="39"/>
      <w:r>
        <w:t>3) require annual reporting to the State Fiscal Accountability Authority on the use of funds and the progress of housing projects.</w:t>
      </w:r>
    </w:p>
    <w:p w:rsidR="00067D4E" w:rsidP="00067D4E" w:rsidRDefault="00067D4E" w14:paraId="618D6E6E" w14:textId="76BB007A">
      <w:pPr>
        <w:pStyle w:val="scnewcodesection"/>
      </w:pPr>
      <w:r>
        <w:tab/>
      </w:r>
      <w:bookmarkStart w:name="ss_T31C3N1700SH_lv1_e0b0c1806" w:id="40"/>
      <w:r>
        <w:t>(</w:t>
      </w:r>
      <w:bookmarkEnd w:id="40"/>
      <w:r>
        <w:t xml:space="preserve">H) </w:t>
      </w:r>
      <w:r w:rsidRPr="00067D4E">
        <w:t xml:space="preserve">The provisions of this </w:t>
      </w:r>
      <w:r>
        <w:t>section</w:t>
      </w:r>
      <w:r w:rsidRPr="00067D4E">
        <w:t xml:space="preserve"> expire on January 1, 2035, unless reauthorized by the General Assembly.</w:t>
      </w:r>
    </w:p>
    <w:p w:rsidR="00067D4E" w:rsidP="00067D4E" w:rsidRDefault="00067D4E" w14:paraId="7422C5C1" w14:textId="77777777">
      <w:pPr>
        <w:pStyle w:val="scemptyline"/>
      </w:pPr>
    </w:p>
    <w:p w:rsidR="00067D4E" w:rsidP="00DA3B43" w:rsidRDefault="00067D4E" w14:paraId="05701CE7" w14:textId="29E8DF6A">
      <w:pPr>
        <w:pStyle w:val="scnoncodifiedsection"/>
      </w:pPr>
      <w:bookmarkStart w:name="bs_num_4_71bd0c564" w:id="41"/>
      <w:bookmarkStart w:name="severability_dba0666e3" w:id="42"/>
      <w:r>
        <w:t>S</w:t>
      </w:r>
      <w:bookmarkEnd w:id="41"/>
      <w:r>
        <w:t>ECTION 4.</w:t>
      </w:r>
      <w:r>
        <w:tab/>
      </w:r>
      <w:bookmarkEnd w:id="42"/>
      <w:r w:rsidRPr="00B0415B" w:rsidR="00DA3B4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5096B8E">
      <w:pPr>
        <w:pStyle w:val="scemptyline"/>
      </w:pPr>
    </w:p>
    <w:p w:rsidRPr="00DF3B44" w:rsidR="007A10F1" w:rsidP="007A10F1" w:rsidRDefault="00E27805" w14:paraId="0E9393B4" w14:textId="3A662836">
      <w:pPr>
        <w:pStyle w:val="scnoncodifiedsection"/>
      </w:pPr>
      <w:bookmarkStart w:name="bs_num_5_lastsection" w:id="43"/>
      <w:bookmarkStart w:name="eff_date_section" w:id="44"/>
      <w:r w:rsidRPr="00DF3B44">
        <w:t>S</w:t>
      </w:r>
      <w:bookmarkEnd w:id="43"/>
      <w:r w:rsidRPr="00DF3B44">
        <w:t>ECTION 5.</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05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1AFC8A" w:rsidR="00685035" w:rsidRPr="007B4AF7" w:rsidRDefault="00EC02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409A">
              <w:rPr>
                <w:noProof/>
              </w:rPr>
              <w:t>LC-0176SA25.docx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78"/>
    <w:rsid w:val="00012912"/>
    <w:rsid w:val="00017712"/>
    <w:rsid w:val="00017FB0"/>
    <w:rsid w:val="00020B5D"/>
    <w:rsid w:val="00026421"/>
    <w:rsid w:val="00026797"/>
    <w:rsid w:val="00030409"/>
    <w:rsid w:val="00037F04"/>
    <w:rsid w:val="000404BF"/>
    <w:rsid w:val="00044B84"/>
    <w:rsid w:val="000479D0"/>
    <w:rsid w:val="0006464F"/>
    <w:rsid w:val="0006474D"/>
    <w:rsid w:val="00066B54"/>
    <w:rsid w:val="00067D4E"/>
    <w:rsid w:val="00072FCD"/>
    <w:rsid w:val="00074A4F"/>
    <w:rsid w:val="00077B65"/>
    <w:rsid w:val="00092083"/>
    <w:rsid w:val="000A3C25"/>
    <w:rsid w:val="000A4D59"/>
    <w:rsid w:val="000B4C02"/>
    <w:rsid w:val="000B5B4A"/>
    <w:rsid w:val="000B7FE1"/>
    <w:rsid w:val="000C3E88"/>
    <w:rsid w:val="000C46B9"/>
    <w:rsid w:val="000C4F9F"/>
    <w:rsid w:val="000C58E4"/>
    <w:rsid w:val="000C6F9A"/>
    <w:rsid w:val="000D2F44"/>
    <w:rsid w:val="000D33E4"/>
    <w:rsid w:val="000E4654"/>
    <w:rsid w:val="000E578A"/>
    <w:rsid w:val="000F2250"/>
    <w:rsid w:val="000F297F"/>
    <w:rsid w:val="0010329A"/>
    <w:rsid w:val="00105756"/>
    <w:rsid w:val="001164F9"/>
    <w:rsid w:val="0011719C"/>
    <w:rsid w:val="0013409A"/>
    <w:rsid w:val="00140049"/>
    <w:rsid w:val="00167829"/>
    <w:rsid w:val="00171601"/>
    <w:rsid w:val="001730EB"/>
    <w:rsid w:val="00173276"/>
    <w:rsid w:val="00176122"/>
    <w:rsid w:val="001876A0"/>
    <w:rsid w:val="0019025B"/>
    <w:rsid w:val="00192AF7"/>
    <w:rsid w:val="00197366"/>
    <w:rsid w:val="001A136C"/>
    <w:rsid w:val="001B6DA2"/>
    <w:rsid w:val="001C1D0B"/>
    <w:rsid w:val="001C25EC"/>
    <w:rsid w:val="001D3008"/>
    <w:rsid w:val="001F2A41"/>
    <w:rsid w:val="001F313F"/>
    <w:rsid w:val="001F331D"/>
    <w:rsid w:val="001F394C"/>
    <w:rsid w:val="002038AA"/>
    <w:rsid w:val="002114C8"/>
    <w:rsid w:val="0021166F"/>
    <w:rsid w:val="002162DF"/>
    <w:rsid w:val="002266FA"/>
    <w:rsid w:val="00230038"/>
    <w:rsid w:val="00233975"/>
    <w:rsid w:val="00236D73"/>
    <w:rsid w:val="00240222"/>
    <w:rsid w:val="00240591"/>
    <w:rsid w:val="00246535"/>
    <w:rsid w:val="00257F60"/>
    <w:rsid w:val="002625EA"/>
    <w:rsid w:val="00262AC5"/>
    <w:rsid w:val="00264AE9"/>
    <w:rsid w:val="00270781"/>
    <w:rsid w:val="00275AE6"/>
    <w:rsid w:val="002836D8"/>
    <w:rsid w:val="002844E0"/>
    <w:rsid w:val="002A7989"/>
    <w:rsid w:val="002B02F3"/>
    <w:rsid w:val="002C3463"/>
    <w:rsid w:val="002D266D"/>
    <w:rsid w:val="002D5B3D"/>
    <w:rsid w:val="002D7447"/>
    <w:rsid w:val="002E315A"/>
    <w:rsid w:val="002E4F8C"/>
    <w:rsid w:val="002E6323"/>
    <w:rsid w:val="002F560C"/>
    <w:rsid w:val="002F5847"/>
    <w:rsid w:val="0030425A"/>
    <w:rsid w:val="003421F1"/>
    <w:rsid w:val="0034279C"/>
    <w:rsid w:val="00354F64"/>
    <w:rsid w:val="003559A1"/>
    <w:rsid w:val="00361563"/>
    <w:rsid w:val="00371D36"/>
    <w:rsid w:val="00373E17"/>
    <w:rsid w:val="00374F5C"/>
    <w:rsid w:val="003775E6"/>
    <w:rsid w:val="00381998"/>
    <w:rsid w:val="003A5F1C"/>
    <w:rsid w:val="003C258E"/>
    <w:rsid w:val="003C3E2E"/>
    <w:rsid w:val="003D2020"/>
    <w:rsid w:val="003D4A3C"/>
    <w:rsid w:val="003D55B2"/>
    <w:rsid w:val="003E0033"/>
    <w:rsid w:val="003E5452"/>
    <w:rsid w:val="003E7165"/>
    <w:rsid w:val="003E7FF6"/>
    <w:rsid w:val="003F3F2A"/>
    <w:rsid w:val="00402D44"/>
    <w:rsid w:val="004046B5"/>
    <w:rsid w:val="00406F27"/>
    <w:rsid w:val="004141B8"/>
    <w:rsid w:val="004203B9"/>
    <w:rsid w:val="004309F5"/>
    <w:rsid w:val="00432135"/>
    <w:rsid w:val="004433BA"/>
    <w:rsid w:val="00446987"/>
    <w:rsid w:val="00446D28"/>
    <w:rsid w:val="00466CD0"/>
    <w:rsid w:val="00466DA3"/>
    <w:rsid w:val="00473583"/>
    <w:rsid w:val="00477F32"/>
    <w:rsid w:val="00480117"/>
    <w:rsid w:val="00481850"/>
    <w:rsid w:val="004851A0"/>
    <w:rsid w:val="0048627F"/>
    <w:rsid w:val="004932AB"/>
    <w:rsid w:val="00494BEF"/>
    <w:rsid w:val="004A5512"/>
    <w:rsid w:val="004A6BE5"/>
    <w:rsid w:val="004B0C18"/>
    <w:rsid w:val="004C1A04"/>
    <w:rsid w:val="004C20BC"/>
    <w:rsid w:val="004C5C9A"/>
    <w:rsid w:val="004D1442"/>
    <w:rsid w:val="004D3DCB"/>
    <w:rsid w:val="004D624E"/>
    <w:rsid w:val="004E1946"/>
    <w:rsid w:val="004E3347"/>
    <w:rsid w:val="004E66E9"/>
    <w:rsid w:val="004E7DDE"/>
    <w:rsid w:val="004F0090"/>
    <w:rsid w:val="004F172C"/>
    <w:rsid w:val="005002ED"/>
    <w:rsid w:val="0050041A"/>
    <w:rsid w:val="00500DBC"/>
    <w:rsid w:val="005102BE"/>
    <w:rsid w:val="00521838"/>
    <w:rsid w:val="00523F7F"/>
    <w:rsid w:val="00524D54"/>
    <w:rsid w:val="005260AB"/>
    <w:rsid w:val="005439D2"/>
    <w:rsid w:val="0054531B"/>
    <w:rsid w:val="00546C24"/>
    <w:rsid w:val="005476FF"/>
    <w:rsid w:val="005516F6"/>
    <w:rsid w:val="00552842"/>
    <w:rsid w:val="00554E89"/>
    <w:rsid w:val="00564B58"/>
    <w:rsid w:val="00572281"/>
    <w:rsid w:val="005801DD"/>
    <w:rsid w:val="00582CB8"/>
    <w:rsid w:val="00592A40"/>
    <w:rsid w:val="005A28BC"/>
    <w:rsid w:val="005A5377"/>
    <w:rsid w:val="005B7817"/>
    <w:rsid w:val="005C06C8"/>
    <w:rsid w:val="005C23D7"/>
    <w:rsid w:val="005C40EB"/>
    <w:rsid w:val="005D02B4"/>
    <w:rsid w:val="005D3013"/>
    <w:rsid w:val="005E1E50"/>
    <w:rsid w:val="005E2B9C"/>
    <w:rsid w:val="005E3332"/>
    <w:rsid w:val="005E5719"/>
    <w:rsid w:val="005F76B0"/>
    <w:rsid w:val="00604429"/>
    <w:rsid w:val="006067B0"/>
    <w:rsid w:val="00606A8B"/>
    <w:rsid w:val="00611EBA"/>
    <w:rsid w:val="00617B87"/>
    <w:rsid w:val="006213A8"/>
    <w:rsid w:val="00623BEA"/>
    <w:rsid w:val="006347E9"/>
    <w:rsid w:val="00635FCD"/>
    <w:rsid w:val="00640C87"/>
    <w:rsid w:val="006454BB"/>
    <w:rsid w:val="00657CF4"/>
    <w:rsid w:val="00661463"/>
    <w:rsid w:val="00663B8D"/>
    <w:rsid w:val="00663E00"/>
    <w:rsid w:val="00664F48"/>
    <w:rsid w:val="00664FAD"/>
    <w:rsid w:val="00672C8B"/>
    <w:rsid w:val="0067345B"/>
    <w:rsid w:val="00676085"/>
    <w:rsid w:val="00683986"/>
    <w:rsid w:val="00685035"/>
    <w:rsid w:val="00685770"/>
    <w:rsid w:val="00690DBA"/>
    <w:rsid w:val="006964F9"/>
    <w:rsid w:val="006A2C5F"/>
    <w:rsid w:val="006A395F"/>
    <w:rsid w:val="006A65E2"/>
    <w:rsid w:val="006B37BD"/>
    <w:rsid w:val="006C092D"/>
    <w:rsid w:val="006C099D"/>
    <w:rsid w:val="006C18F0"/>
    <w:rsid w:val="006C7E01"/>
    <w:rsid w:val="006D64A5"/>
    <w:rsid w:val="006E0935"/>
    <w:rsid w:val="006E353F"/>
    <w:rsid w:val="006E35AB"/>
    <w:rsid w:val="00711AA9"/>
    <w:rsid w:val="00713384"/>
    <w:rsid w:val="00722155"/>
    <w:rsid w:val="00737F19"/>
    <w:rsid w:val="0075230A"/>
    <w:rsid w:val="007668BE"/>
    <w:rsid w:val="00782BF8"/>
    <w:rsid w:val="00783C75"/>
    <w:rsid w:val="007849D9"/>
    <w:rsid w:val="00787433"/>
    <w:rsid w:val="007A08B3"/>
    <w:rsid w:val="007A10F1"/>
    <w:rsid w:val="007A3D50"/>
    <w:rsid w:val="007B2D29"/>
    <w:rsid w:val="007B412F"/>
    <w:rsid w:val="007B47CF"/>
    <w:rsid w:val="007B4AF7"/>
    <w:rsid w:val="007B4DBF"/>
    <w:rsid w:val="007C5458"/>
    <w:rsid w:val="007D2C67"/>
    <w:rsid w:val="007E06BB"/>
    <w:rsid w:val="007F50D1"/>
    <w:rsid w:val="0080636A"/>
    <w:rsid w:val="00816D52"/>
    <w:rsid w:val="0082370B"/>
    <w:rsid w:val="00831048"/>
    <w:rsid w:val="00834272"/>
    <w:rsid w:val="008625C1"/>
    <w:rsid w:val="0087671D"/>
    <w:rsid w:val="00880635"/>
    <w:rsid w:val="008806F9"/>
    <w:rsid w:val="008841F3"/>
    <w:rsid w:val="00886F73"/>
    <w:rsid w:val="00887957"/>
    <w:rsid w:val="00897C8A"/>
    <w:rsid w:val="008A57E3"/>
    <w:rsid w:val="008B5BF4"/>
    <w:rsid w:val="008C0CEE"/>
    <w:rsid w:val="008C1B18"/>
    <w:rsid w:val="008D46EC"/>
    <w:rsid w:val="008E0E25"/>
    <w:rsid w:val="008E61A1"/>
    <w:rsid w:val="008F1798"/>
    <w:rsid w:val="009031EF"/>
    <w:rsid w:val="009032D8"/>
    <w:rsid w:val="00917EA3"/>
    <w:rsid w:val="00917EE0"/>
    <w:rsid w:val="00920347"/>
    <w:rsid w:val="00921A08"/>
    <w:rsid w:val="00921C89"/>
    <w:rsid w:val="00926966"/>
    <w:rsid w:val="00926D03"/>
    <w:rsid w:val="00932486"/>
    <w:rsid w:val="00934036"/>
    <w:rsid w:val="00934889"/>
    <w:rsid w:val="0094541D"/>
    <w:rsid w:val="009473EA"/>
    <w:rsid w:val="00954E7E"/>
    <w:rsid w:val="009554D9"/>
    <w:rsid w:val="009572F9"/>
    <w:rsid w:val="00960D0F"/>
    <w:rsid w:val="009707AB"/>
    <w:rsid w:val="00970874"/>
    <w:rsid w:val="009741FB"/>
    <w:rsid w:val="0098366F"/>
    <w:rsid w:val="00983A03"/>
    <w:rsid w:val="00986063"/>
    <w:rsid w:val="00991F67"/>
    <w:rsid w:val="00992876"/>
    <w:rsid w:val="009A0DCE"/>
    <w:rsid w:val="009A22CD"/>
    <w:rsid w:val="009A3E4B"/>
    <w:rsid w:val="009B35FD"/>
    <w:rsid w:val="009B6815"/>
    <w:rsid w:val="009D2967"/>
    <w:rsid w:val="009D3C2B"/>
    <w:rsid w:val="009E19B9"/>
    <w:rsid w:val="009E4191"/>
    <w:rsid w:val="009F2AB1"/>
    <w:rsid w:val="009F4FAF"/>
    <w:rsid w:val="009F68F1"/>
    <w:rsid w:val="00A04529"/>
    <w:rsid w:val="00A0584B"/>
    <w:rsid w:val="00A17135"/>
    <w:rsid w:val="00A21A6F"/>
    <w:rsid w:val="00A23BD2"/>
    <w:rsid w:val="00A24E56"/>
    <w:rsid w:val="00A26A62"/>
    <w:rsid w:val="00A35A9B"/>
    <w:rsid w:val="00A4070E"/>
    <w:rsid w:val="00A40CA0"/>
    <w:rsid w:val="00A504A7"/>
    <w:rsid w:val="00A52D35"/>
    <w:rsid w:val="00A53677"/>
    <w:rsid w:val="00A53BF2"/>
    <w:rsid w:val="00A60D68"/>
    <w:rsid w:val="00A7159A"/>
    <w:rsid w:val="00A73EFA"/>
    <w:rsid w:val="00A77A3B"/>
    <w:rsid w:val="00A803EE"/>
    <w:rsid w:val="00A92F6F"/>
    <w:rsid w:val="00A97523"/>
    <w:rsid w:val="00AA7824"/>
    <w:rsid w:val="00AA7925"/>
    <w:rsid w:val="00AB0FA3"/>
    <w:rsid w:val="00AB73BF"/>
    <w:rsid w:val="00AC1DF6"/>
    <w:rsid w:val="00AC335C"/>
    <w:rsid w:val="00AC463E"/>
    <w:rsid w:val="00AD3BE2"/>
    <w:rsid w:val="00AD3E3D"/>
    <w:rsid w:val="00AE1EE4"/>
    <w:rsid w:val="00AE36EC"/>
    <w:rsid w:val="00AE548B"/>
    <w:rsid w:val="00AE7406"/>
    <w:rsid w:val="00AF1688"/>
    <w:rsid w:val="00AF242D"/>
    <w:rsid w:val="00AF46E6"/>
    <w:rsid w:val="00AF5139"/>
    <w:rsid w:val="00B06EDA"/>
    <w:rsid w:val="00B1161F"/>
    <w:rsid w:val="00B11661"/>
    <w:rsid w:val="00B32B4D"/>
    <w:rsid w:val="00B4137E"/>
    <w:rsid w:val="00B4572D"/>
    <w:rsid w:val="00B5451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60C"/>
    <w:rsid w:val="00BC408A"/>
    <w:rsid w:val="00BC5023"/>
    <w:rsid w:val="00BC556C"/>
    <w:rsid w:val="00BD42DA"/>
    <w:rsid w:val="00BD4684"/>
    <w:rsid w:val="00BE08A7"/>
    <w:rsid w:val="00BE4391"/>
    <w:rsid w:val="00BF3E48"/>
    <w:rsid w:val="00C0442B"/>
    <w:rsid w:val="00C10663"/>
    <w:rsid w:val="00C15F1B"/>
    <w:rsid w:val="00C16288"/>
    <w:rsid w:val="00C17D1D"/>
    <w:rsid w:val="00C37CAB"/>
    <w:rsid w:val="00C45923"/>
    <w:rsid w:val="00C543E7"/>
    <w:rsid w:val="00C70225"/>
    <w:rsid w:val="00C72198"/>
    <w:rsid w:val="00C73C7D"/>
    <w:rsid w:val="00C75005"/>
    <w:rsid w:val="00C92AAD"/>
    <w:rsid w:val="00C970DF"/>
    <w:rsid w:val="00CA7E71"/>
    <w:rsid w:val="00CB2673"/>
    <w:rsid w:val="00CB701D"/>
    <w:rsid w:val="00CB7430"/>
    <w:rsid w:val="00CC32E1"/>
    <w:rsid w:val="00CC3F0E"/>
    <w:rsid w:val="00CD08C9"/>
    <w:rsid w:val="00CD1FE8"/>
    <w:rsid w:val="00CD38CD"/>
    <w:rsid w:val="00CD3E0C"/>
    <w:rsid w:val="00CD5565"/>
    <w:rsid w:val="00CD616C"/>
    <w:rsid w:val="00CF68D6"/>
    <w:rsid w:val="00CF73FE"/>
    <w:rsid w:val="00CF7B4A"/>
    <w:rsid w:val="00D009F8"/>
    <w:rsid w:val="00D078DA"/>
    <w:rsid w:val="00D14995"/>
    <w:rsid w:val="00D204F2"/>
    <w:rsid w:val="00D2455C"/>
    <w:rsid w:val="00D25023"/>
    <w:rsid w:val="00D2621F"/>
    <w:rsid w:val="00D27F8C"/>
    <w:rsid w:val="00D33843"/>
    <w:rsid w:val="00D452F4"/>
    <w:rsid w:val="00D53E6B"/>
    <w:rsid w:val="00D54A6F"/>
    <w:rsid w:val="00D57D57"/>
    <w:rsid w:val="00D62E42"/>
    <w:rsid w:val="00D6735D"/>
    <w:rsid w:val="00D772FB"/>
    <w:rsid w:val="00D93937"/>
    <w:rsid w:val="00DA1AA0"/>
    <w:rsid w:val="00DA3B43"/>
    <w:rsid w:val="00DA512B"/>
    <w:rsid w:val="00DC44A8"/>
    <w:rsid w:val="00DE1226"/>
    <w:rsid w:val="00DE4BEE"/>
    <w:rsid w:val="00DE5B3D"/>
    <w:rsid w:val="00DE7112"/>
    <w:rsid w:val="00DF19BE"/>
    <w:rsid w:val="00DF3B44"/>
    <w:rsid w:val="00DF6496"/>
    <w:rsid w:val="00E1372E"/>
    <w:rsid w:val="00E212BB"/>
    <w:rsid w:val="00E21D30"/>
    <w:rsid w:val="00E24D9A"/>
    <w:rsid w:val="00E27805"/>
    <w:rsid w:val="00E27A11"/>
    <w:rsid w:val="00E30497"/>
    <w:rsid w:val="00E34F91"/>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36E"/>
    <w:rsid w:val="00ED452E"/>
    <w:rsid w:val="00EE3CDA"/>
    <w:rsid w:val="00EF37A8"/>
    <w:rsid w:val="00EF531F"/>
    <w:rsid w:val="00F05FE8"/>
    <w:rsid w:val="00F06D86"/>
    <w:rsid w:val="00F11595"/>
    <w:rsid w:val="00F120C8"/>
    <w:rsid w:val="00F13D87"/>
    <w:rsid w:val="00F149E5"/>
    <w:rsid w:val="00F15E33"/>
    <w:rsid w:val="00F17DA2"/>
    <w:rsid w:val="00F22EC0"/>
    <w:rsid w:val="00F25C47"/>
    <w:rsid w:val="00F27D7B"/>
    <w:rsid w:val="00F31D34"/>
    <w:rsid w:val="00F342A1"/>
    <w:rsid w:val="00F36FBA"/>
    <w:rsid w:val="00F44D36"/>
    <w:rsid w:val="00F46262"/>
    <w:rsid w:val="00F46D7A"/>
    <w:rsid w:val="00F4795D"/>
    <w:rsid w:val="00F50A61"/>
    <w:rsid w:val="00F525CD"/>
    <w:rsid w:val="00F5286C"/>
    <w:rsid w:val="00F52E12"/>
    <w:rsid w:val="00F638CA"/>
    <w:rsid w:val="00F657C5"/>
    <w:rsid w:val="00F83319"/>
    <w:rsid w:val="00F900B4"/>
    <w:rsid w:val="00FA0F2E"/>
    <w:rsid w:val="00FA4DB1"/>
    <w:rsid w:val="00FB3F2A"/>
    <w:rsid w:val="00FB7C96"/>
    <w:rsid w:val="00FC0A1E"/>
    <w:rsid w:val="00FC3593"/>
    <w:rsid w:val="00FD117D"/>
    <w:rsid w:val="00FD72E3"/>
    <w:rsid w:val="00FE06FC"/>
    <w:rsid w:val="00FF0315"/>
    <w:rsid w:val="00FF2121"/>
    <w:rsid w:val="00FF61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9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297F"/>
    <w:rPr>
      <w:rFonts w:ascii="Times New Roman" w:hAnsi="Times New Roman"/>
      <w:b w:val="0"/>
      <w:i w:val="0"/>
      <w:sz w:val="22"/>
    </w:rPr>
  </w:style>
  <w:style w:type="paragraph" w:styleId="NoSpacing">
    <w:name w:val="No Spacing"/>
    <w:uiPriority w:val="1"/>
    <w:qFormat/>
    <w:rsid w:val="000F297F"/>
    <w:pPr>
      <w:spacing w:after="0" w:line="240" w:lineRule="auto"/>
    </w:pPr>
  </w:style>
  <w:style w:type="paragraph" w:customStyle="1" w:styleId="scemptylineheader">
    <w:name w:val="sc_emptyline_header"/>
    <w:qFormat/>
    <w:rsid w:val="000F29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29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29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29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29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297F"/>
    <w:rPr>
      <w:color w:val="808080"/>
    </w:rPr>
  </w:style>
  <w:style w:type="paragraph" w:customStyle="1" w:styleId="scdirectionallanguage">
    <w:name w:val="sc_directional_language"/>
    <w:qFormat/>
    <w:rsid w:val="000F29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29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29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29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29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29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29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29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29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29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29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29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29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29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29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29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297F"/>
    <w:rPr>
      <w:rFonts w:ascii="Times New Roman" w:hAnsi="Times New Roman"/>
      <w:color w:val="auto"/>
      <w:sz w:val="22"/>
    </w:rPr>
  </w:style>
  <w:style w:type="paragraph" w:customStyle="1" w:styleId="scclippagebillheader">
    <w:name w:val="sc_clip_page_bill_header"/>
    <w:qFormat/>
    <w:rsid w:val="000F29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29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29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2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7F"/>
    <w:rPr>
      <w:lang w:val="en-US"/>
    </w:rPr>
  </w:style>
  <w:style w:type="paragraph" w:styleId="Footer">
    <w:name w:val="footer"/>
    <w:basedOn w:val="Normal"/>
    <w:link w:val="FooterChar"/>
    <w:uiPriority w:val="99"/>
    <w:unhideWhenUsed/>
    <w:rsid w:val="000F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7F"/>
    <w:rPr>
      <w:lang w:val="en-US"/>
    </w:rPr>
  </w:style>
  <w:style w:type="paragraph" w:styleId="ListParagraph">
    <w:name w:val="List Paragraph"/>
    <w:basedOn w:val="Normal"/>
    <w:uiPriority w:val="34"/>
    <w:qFormat/>
    <w:rsid w:val="000F297F"/>
    <w:pPr>
      <w:ind w:left="720"/>
      <w:contextualSpacing/>
    </w:pPr>
  </w:style>
  <w:style w:type="paragraph" w:customStyle="1" w:styleId="scbillfooter">
    <w:name w:val="sc_bill_footer"/>
    <w:qFormat/>
    <w:rsid w:val="000F29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29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29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29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29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29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297F"/>
    <w:pPr>
      <w:widowControl w:val="0"/>
      <w:suppressAutoHyphens/>
      <w:spacing w:after="0" w:line="360" w:lineRule="auto"/>
    </w:pPr>
    <w:rPr>
      <w:rFonts w:ascii="Times New Roman" w:hAnsi="Times New Roman"/>
      <w:lang w:val="en-US"/>
    </w:rPr>
  </w:style>
  <w:style w:type="paragraph" w:customStyle="1" w:styleId="sctableln">
    <w:name w:val="sc_table_ln"/>
    <w:qFormat/>
    <w:rsid w:val="000F29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29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297F"/>
    <w:rPr>
      <w:strike/>
      <w:dstrike w:val="0"/>
    </w:rPr>
  </w:style>
  <w:style w:type="character" w:customStyle="1" w:styleId="scinsert">
    <w:name w:val="sc_insert"/>
    <w:uiPriority w:val="1"/>
    <w:qFormat/>
    <w:rsid w:val="000F297F"/>
    <w:rPr>
      <w:caps w:val="0"/>
      <w:smallCaps w:val="0"/>
      <w:strike w:val="0"/>
      <w:dstrike w:val="0"/>
      <w:vanish w:val="0"/>
      <w:u w:val="single"/>
      <w:vertAlign w:val="baseline"/>
    </w:rPr>
  </w:style>
  <w:style w:type="character" w:customStyle="1" w:styleId="scinsertred">
    <w:name w:val="sc_insert_red"/>
    <w:uiPriority w:val="1"/>
    <w:qFormat/>
    <w:rsid w:val="000F297F"/>
    <w:rPr>
      <w:caps w:val="0"/>
      <w:smallCaps w:val="0"/>
      <w:strike w:val="0"/>
      <w:dstrike w:val="0"/>
      <w:vanish w:val="0"/>
      <w:color w:val="FF0000"/>
      <w:u w:val="single"/>
      <w:vertAlign w:val="baseline"/>
    </w:rPr>
  </w:style>
  <w:style w:type="character" w:customStyle="1" w:styleId="scinsertblue">
    <w:name w:val="sc_insert_blue"/>
    <w:uiPriority w:val="1"/>
    <w:qFormat/>
    <w:rsid w:val="000F297F"/>
    <w:rPr>
      <w:caps w:val="0"/>
      <w:smallCaps w:val="0"/>
      <w:strike w:val="0"/>
      <w:dstrike w:val="0"/>
      <w:vanish w:val="0"/>
      <w:color w:val="0070C0"/>
      <w:u w:val="single"/>
      <w:vertAlign w:val="baseline"/>
    </w:rPr>
  </w:style>
  <w:style w:type="character" w:customStyle="1" w:styleId="scstrikered">
    <w:name w:val="sc_strike_red"/>
    <w:uiPriority w:val="1"/>
    <w:qFormat/>
    <w:rsid w:val="000F297F"/>
    <w:rPr>
      <w:strike/>
      <w:dstrike w:val="0"/>
      <w:color w:val="FF0000"/>
    </w:rPr>
  </w:style>
  <w:style w:type="character" w:customStyle="1" w:styleId="scstrikeblue">
    <w:name w:val="sc_strike_blue"/>
    <w:uiPriority w:val="1"/>
    <w:qFormat/>
    <w:rsid w:val="000F297F"/>
    <w:rPr>
      <w:strike/>
      <w:dstrike w:val="0"/>
      <w:color w:val="0070C0"/>
    </w:rPr>
  </w:style>
  <w:style w:type="character" w:customStyle="1" w:styleId="scinsertbluenounderline">
    <w:name w:val="sc_insert_blue_no_underline"/>
    <w:uiPriority w:val="1"/>
    <w:qFormat/>
    <w:rsid w:val="000F29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29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297F"/>
    <w:rPr>
      <w:strike/>
      <w:dstrike w:val="0"/>
      <w:color w:val="0070C0"/>
      <w:lang w:val="en-US"/>
    </w:rPr>
  </w:style>
  <w:style w:type="character" w:customStyle="1" w:styleId="scstrikerednoncodified">
    <w:name w:val="sc_strike_red_non_codified"/>
    <w:uiPriority w:val="1"/>
    <w:qFormat/>
    <w:rsid w:val="000F297F"/>
    <w:rPr>
      <w:strike/>
      <w:dstrike w:val="0"/>
      <w:color w:val="FF0000"/>
    </w:rPr>
  </w:style>
  <w:style w:type="paragraph" w:customStyle="1" w:styleId="scbillsiglines">
    <w:name w:val="sc_bill_sig_lines"/>
    <w:qFormat/>
    <w:rsid w:val="000F29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297F"/>
    <w:rPr>
      <w:bdr w:val="none" w:sz="0" w:space="0" w:color="auto"/>
      <w:shd w:val="clear" w:color="auto" w:fill="FEC6C6"/>
    </w:rPr>
  </w:style>
  <w:style w:type="character" w:customStyle="1" w:styleId="screstoreblue">
    <w:name w:val="sc_restore_blue"/>
    <w:uiPriority w:val="1"/>
    <w:qFormat/>
    <w:rsid w:val="000F297F"/>
    <w:rPr>
      <w:color w:val="4472C4" w:themeColor="accent1"/>
      <w:bdr w:val="none" w:sz="0" w:space="0" w:color="auto"/>
      <w:shd w:val="clear" w:color="auto" w:fill="auto"/>
    </w:rPr>
  </w:style>
  <w:style w:type="character" w:customStyle="1" w:styleId="screstorered">
    <w:name w:val="sc_restore_red"/>
    <w:uiPriority w:val="1"/>
    <w:qFormat/>
    <w:rsid w:val="000F297F"/>
    <w:rPr>
      <w:color w:val="FF0000"/>
      <w:bdr w:val="none" w:sz="0" w:space="0" w:color="auto"/>
      <w:shd w:val="clear" w:color="auto" w:fill="auto"/>
    </w:rPr>
  </w:style>
  <w:style w:type="character" w:customStyle="1" w:styleId="scstrikenewblue">
    <w:name w:val="sc_strike_new_blue"/>
    <w:uiPriority w:val="1"/>
    <w:qFormat/>
    <w:rsid w:val="000F297F"/>
    <w:rPr>
      <w:strike w:val="0"/>
      <w:dstrike/>
      <w:color w:val="0070C0"/>
      <w:u w:val="none"/>
    </w:rPr>
  </w:style>
  <w:style w:type="character" w:customStyle="1" w:styleId="scstrikenewred">
    <w:name w:val="sc_strike_new_red"/>
    <w:uiPriority w:val="1"/>
    <w:qFormat/>
    <w:rsid w:val="000F297F"/>
    <w:rPr>
      <w:strike w:val="0"/>
      <w:dstrike/>
      <w:color w:val="FF0000"/>
      <w:u w:val="none"/>
    </w:rPr>
  </w:style>
  <w:style w:type="character" w:customStyle="1" w:styleId="scamendsenate">
    <w:name w:val="sc_amend_senate"/>
    <w:uiPriority w:val="1"/>
    <w:qFormat/>
    <w:rsid w:val="000F297F"/>
    <w:rPr>
      <w:bdr w:val="none" w:sz="0" w:space="0" w:color="auto"/>
      <w:shd w:val="clear" w:color="auto" w:fill="FFF2CC" w:themeFill="accent4" w:themeFillTint="33"/>
    </w:rPr>
  </w:style>
  <w:style w:type="character" w:customStyle="1" w:styleId="scamendhouse">
    <w:name w:val="sc_amend_house"/>
    <w:uiPriority w:val="1"/>
    <w:qFormat/>
    <w:rsid w:val="000F29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8&amp;session=126&amp;summary=B" TargetMode="External" Id="Rd5b3edc6b2344785" /><Relationship Type="http://schemas.openxmlformats.org/officeDocument/2006/relationships/hyperlink" Target="https://www.scstatehouse.gov/sess126_2025-2026/prever/3738_20250115.docx" TargetMode="External" Id="R67fca9c51bb043a3" /><Relationship Type="http://schemas.openxmlformats.org/officeDocument/2006/relationships/hyperlink" Target="h:\hj\20250115.docx" TargetMode="External" Id="R2c6656c0b7d3432b" /><Relationship Type="http://schemas.openxmlformats.org/officeDocument/2006/relationships/hyperlink" Target="h:\hj\20250115.docx" TargetMode="External" Id="Rf64f8cd850e343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D2020"/>
    <w:rsid w:val="003E4FBC"/>
    <w:rsid w:val="003F4940"/>
    <w:rsid w:val="004E2BB5"/>
    <w:rsid w:val="00580C56"/>
    <w:rsid w:val="006B363F"/>
    <w:rsid w:val="007070D2"/>
    <w:rsid w:val="00776F2C"/>
    <w:rsid w:val="008F1798"/>
    <w:rsid w:val="008F7723"/>
    <w:rsid w:val="009031EF"/>
    <w:rsid w:val="00912A5F"/>
    <w:rsid w:val="00940EED"/>
    <w:rsid w:val="00985255"/>
    <w:rsid w:val="009C3651"/>
    <w:rsid w:val="00A51DBA"/>
    <w:rsid w:val="00A803EE"/>
    <w:rsid w:val="00B20DA6"/>
    <w:rsid w:val="00B457AF"/>
    <w:rsid w:val="00C818FB"/>
    <w:rsid w:val="00CC0451"/>
    <w:rsid w:val="00D6665C"/>
    <w:rsid w:val="00D900BD"/>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2e841b3f-ff99-4479-910d-99dc562b5bec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df1ac57d-c2ef-4f42-af36-919fd1a9b91f</T_BILL_REQUEST_REQUEST>
  <T_BILL_R_ORIGINALDRAFT>1ba14f28-07a1-4a79-bf23-bd0429d0db86</T_BILL_R_ORIGINALDRAFT>
  <T_BILL_SPONSOR_SPONSOR>f75620ba-7ea5-4f21-af0b-1ad32bc02789</T_BILL_SPONSOR_SPONSOR>
  <T_BILL_T_BILLNAME>[3738]</T_BILL_T_BILLNAME>
  <T_BILL_T_BILLNUMBER>3738</T_BILL_T_BILLNUMBER>
  <T_BILL_T_BILLTITLE>TO AMEND THE SOUTH CAROLINA CODE OF LAWS BY ENACTING THE “SOUTH CAROLINA HOUSING DEVELOPMENT REVENUE ENHANCEMENT ACT” BY ADDING SECTION 31‑3‑1700 SO AS TO ENABLE HOUSING AUTHORITIES TO UTILIZE TAX INCREMENT FINANCING (TIF) AND OTHER REVENUE MECHANISMS TO SUPPORT THE DEVELOPMENT AND FINANCING OF AFFORDABLE HOUSING, ENCOURAGE PUBLIC‑PRIVATE PARTNERSHIPS, AND INCLUDE PROJECT‑GENERATED REVENUES AS A SECONDARY SOURCE OF REPAYMENT FOR BONDS ISSUED.</T_BILL_T_BILLTITLE>
  <T_BILL_T_CHAMBER>house</T_BILL_T_CHAMBER>
  <T_BILL_T_FILENAME> </T_BILL_T_FILENAME>
  <T_BILL_T_LEGTYPE>bill_statewide</T_BILL_T_LEGTYPE>
  <T_BILL_T_RATNUMBERSTRING>HNone</T_BILL_T_RATNUMBERSTRING>
  <T_BILL_T_SECTIONS>[{"SectionUUID":"3bf46be3-8cda-449c-a6b7-23b7ade1fce3","SectionName":"Citing an Act","SectionNumber":1,"SectionType":"new","CodeSections":[],"TitleText":"by enacting the “South Carolina Housing Development Revenue Enhancement Act.”","DisableControls":false,"Deleted":false,"RepealItems":[],"SectionBookmarkName":"bs_num_1_12df318f1"},{"SectionUUID":"c51ff62e-1b4b-4a11-b0c4-9775aa5351be","SectionName":"New Blank SECTION","SectionNumber":2,"SectionType":"new","CodeSections":[],"TitleText":"","DisableControls":false,"Deleted":false,"RepealItems":[],"SectionBookmarkName":"bs_num_2_f2b8418b7"},{"SectionUUID":"b7f18c21-2cee-40f2-9846-c855285791fe","SectionName":"code_section","SectionNumber":3,"SectionType":"code_section","CodeSections":[{"CodeSectionBookmarkName":"ns_T31C3N1700_b842bc5e4","IsConstitutionSection":false,"Identity":"31-3-1700","IsNew":true,"SubSections":[{"Level":1,"Identity":"T31C3N1700SA","SubSectionBookmarkName":"ss_T31C3N1700SA_lv1_bef1ea955","IsNewSubSection":false,"SubSectionReplacement":""},{"Level":2,"Identity":"T31C3N1700S2","SubSectionBookmarkName":"ss_T31C3N1700S2_lv2_9ec567890","IsNewSubSection":false,"SubSectionReplacement":""},{"Level":3,"Identity":"T31C3N1700Sa","SubSectionBookmarkName":"ss_T31C3N1700Sa_lv3_27275e2ae","IsNewSubSection":false,"SubSectionReplacement":""},{"Level":3,"Identity":"T31C3N1700Sb","SubSectionBookmarkName":"ss_T31C3N1700Sb_lv3_0b5ddd16d","IsNewSubSection":false,"SubSectionReplacement":""},{"Level":3,"Identity":"T31C3N1700Sc","SubSectionBookmarkName":"ss_T31C3N1700Sc_lv3_a7b0cfab6","IsNewSubSection":false,"SubSectionReplacement":""},{"Level":1,"Identity":"T31C3N1700SB","SubSectionBookmarkName":"ss_T31C3N1700SB_lv1_31eff4735","IsNewSubSection":false,"SubSectionReplacement":""},{"Level":1,"Identity":"T31C3N1700SC","SubSectionBookmarkName":"ss_T31C3N1700SC_lv1_b35464790","IsNewSubSection":false,"SubSectionReplacement":""},{"Level":2,"Identity":"T31C3N1700S1","SubSectionBookmarkName":"ss_T31C3N1700S1_lv2_592931065","IsNewSubSection":false,"SubSectionReplacement":""},{"Level":2,"Identity":"T31C3N1700S2","SubSectionBookmarkName":"ss_T31C3N1700S2_lv2_3cf8055f2","IsNewSubSection":false,"SubSectionReplacement":""},{"Level":1,"Identity":"T31C3N1700SD","SubSectionBookmarkName":"ss_T31C3N1700SD_lv1_98f2e9fd8","IsNewSubSection":false,"SubSectionReplacement":""},{"Level":1,"Identity":"T31C3N1700SE","SubSectionBookmarkName":"ss_T31C3N1700SE_lv1_cd6734615","IsNewSubSection":false,"SubSectionReplacement":""},{"Level":2,"Identity":"T31C3N1700S1","SubSectionBookmarkName":"ss_T31C3N1700S1_lv2_0b36a4d05","IsNewSubSection":false,"SubSectionReplacement":""},{"Level":2,"Identity":"T31C3N1700S2","SubSectionBookmarkName":"ss_T31C3N1700S2_lv2_71c665790","IsNewSubSection":false,"SubSectionReplacement":""},{"Level":3,"Identity":"T31C3N1700Sa","SubSectionBookmarkName":"ss_T31C3N1700Sa_lv3_31d1f4053","IsNewSubSection":false,"SubSectionReplacement":""},{"Level":3,"Identity":"T31C3N1700Sb","SubSectionBookmarkName":"ss_T31C3N1700Sb_lv3_97c6c6927","IsNewSubSection":false,"SubSectionReplacement":""},{"Level":3,"Identity":"T31C3N1700Sc","SubSectionBookmarkName":"ss_T31C3N1700Sc_lv3_dbafde97d","IsNewSubSection":false,"SubSectionReplacement":""},{"Level":2,"Identity":"T31C3N1700S3","SubSectionBookmarkName":"ss_T31C3N1700S3_lv2_85a7bdd97","IsNewSubSection":false,"SubSectionReplacement":""},{"Level":1,"Identity":"T31C3N1700SF","SubSectionBookmarkName":"ss_T31C3N1700SF_lv1_fd7a1e420","IsNewSubSection":false,"SubSectionReplacement":""},{"Level":2,"Identity":"T31C3N1700S1","SubSectionBookmarkName":"ss_T31C3N1700S1_lv2_7a538af24","IsNewSubSection":false,"SubSectionReplacement":""},{"Level":2,"Identity":"T31C3N1700S2","SubSectionBookmarkName":"ss_T31C3N1700S2_lv2_d4779473b","IsNewSubSection":false,"SubSectionReplacement":""},{"Level":3,"Identity":"T31C3N1700Sa","SubSectionBookmarkName":"ss_T31C3N1700Sa_lv3_d548ae674","IsNewSubSection":false,"SubSectionReplacement":""},{"Level":3,"Identity":"T31C3N1700Sb","SubSectionBookmarkName":"ss_T31C3N1700Sb_lv3_94c9c72f7","IsNewSubSection":false,"SubSectionReplacement":""},{"Level":3,"Identity":"T31C3N1700Sc","SubSectionBookmarkName":"ss_T31C3N1700Sc_lv3_8b02ae5df","IsNewSubSection":false,"SubSectionReplacement":""},{"Level":1,"Identity":"T31C3N1700SG","SubSectionBookmarkName":"ss_T31C3N1700SG_lv1_0ca0eb4c2","IsNewSubSection":false,"SubSectionReplacement":""},{"Level":2,"Identity":"T31C3N1700S1","SubSectionBookmarkName":"ss_T31C3N1700S1_lv2_8ad481f54","IsNewSubSection":false,"SubSectionReplacement":""},{"Level":2,"Identity":"T31C3N1700S2","SubSectionBookmarkName":"ss_T31C3N1700S2_lv2_6d7037958","IsNewSubSection":false,"SubSectionReplacement":""},{"Level":2,"Identity":"T31C3N1700S3","SubSectionBookmarkName":"ss_T31C3N1700S3_lv2_d3bc318c1","IsNewSubSection":false,"SubSectionReplacement":""},{"Level":1,"Identity":"T31C3N1700SH","SubSectionBookmarkName":"ss_T31C3N1700SH_lv1_e0b0c1806","IsNewSubSection":false,"SubSectionReplacement":""}],"TitleRelatedTo":"","TitleSoAsTo":"enable housing authorities to utilize Tax Increment Financing (TIF) and other revenue mechanisms to support the development and financing of affordable housing, encourage public-private partnerships, and include project-generated revenues as a secondary source of repayment for bonds issued ","Deleted":false}],"TitleText":"","DisableControls":false,"Deleted":false,"RepealItems":[],"SectionBookmarkName":"bs_num_3_c9351b3cb"},{"SectionUUID":"27943167-3d8f-409d-930d-9805c3647582","SectionName":"Severability","SectionNumber":4,"SectionType":"new","CodeSections":[],"TitleText":"","DisableControls":false,"Deleted":false,"RepealItems":[],"SectionBookmarkName":"bs_num_4_71bd0c564"},{"SectionUUID":"8f03ca95-8faa-4d43-a9c2-8afc498075bd","SectionName":"standard_eff_date_section","SectionNumber":5,"SectionType":"drafting_clause","CodeSections":[],"TitleText":"","DisableControls":false,"Deleted":false,"RepealItems":[],"SectionBookmarkName":"bs_num_5_lastsection"}]</T_BILL_T_SECTIONS>
  <T_BILL_T_SUBJECT>South Carolina Housing Development Revenue Enhancement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9C3E1F6-9C2D-4BE4-93F3-97A85156CF7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4508</Characters>
  <Application>Microsoft Office Word</Application>
  <DocSecurity>0</DocSecurity>
  <Lines>93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2025-01-13T15:30:00Z</cp:lastPrinted>
  <dcterms:created xsi:type="dcterms:W3CDTF">2025-01-13T18:06:00Z</dcterms:created>
  <dcterms:modified xsi:type="dcterms:W3CDTF">2025-01-13T18:06:00Z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