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Wetmore, Stavrinakis, Bustos, Hartnett, Teeple and Sanders</w:t>
      </w:r>
    </w:p>
    <w:p>
      <w:pPr>
        <w:widowControl w:val="false"/>
        <w:spacing w:after="0"/>
        <w:jc w:val="left"/>
      </w:pPr>
      <w:r>
        <w:rPr>
          <w:rFonts w:ascii="Times New Roman"/>
          <w:sz w:val="22"/>
        </w:rPr>
        <w:t xml:space="preserve">Companion/Similar bill(s): 227</w:t>
      </w:r>
    </w:p>
    <w:p>
      <w:pPr>
        <w:widowControl w:val="false"/>
        <w:spacing w:after="0"/>
        <w:jc w:val="left"/>
      </w:pPr>
      <w:r>
        <w:rPr>
          <w:rFonts w:ascii="Times New Roman"/>
          <w:sz w:val="22"/>
        </w:rPr>
        <w:t xml:space="preserve">Document Path: LC-0061PH25.docx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Local planning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84f9764d8c604009">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Medical, Military, Public and Municipal Affairs</w:t>
      </w:r>
      <w:r>
        <w:t xml:space="preserve"> (</w:t>
      </w:r>
      <w:hyperlink w:history="true" r:id="Rd255c99974fc4af7">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Sanders
 </w:t>
      </w:r>
    </w:p>
    <w:p>
      <w:pPr>
        <w:widowControl w:val="false"/>
        <w:spacing w:after="0"/>
        <w:jc w:val="left"/>
      </w:pPr>
    </w:p>
    <w:p>
      <w:pPr>
        <w:widowControl w:val="false"/>
        <w:spacing w:after="0"/>
        <w:jc w:val="left"/>
      </w:pPr>
      <w:r>
        <w:rPr>
          <w:rFonts w:ascii="Times New Roman"/>
          <w:sz w:val="22"/>
        </w:rPr>
        <w:t xml:space="preserve">View the latest </w:t>
      </w:r>
      <w:hyperlink r:id="R34ff69b831c54f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dca3e4c1b84e05">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E1438" w:rsidRDefault="00432135" w14:paraId="47642A99" w14:textId="4249A3D7">
      <w:pPr>
        <w:pStyle w:val="scemptylineheader"/>
      </w:pPr>
    </w:p>
    <w:p w:rsidRPr="00BB0725" w:rsidR="00A73EFA" w:rsidP="00AE1438" w:rsidRDefault="00A73EFA" w14:paraId="7B72410E" w14:textId="1E1F499F">
      <w:pPr>
        <w:pStyle w:val="scemptylineheader"/>
      </w:pPr>
    </w:p>
    <w:p w:rsidRPr="00BB0725" w:rsidR="00A73EFA" w:rsidP="00AE1438" w:rsidRDefault="00A73EFA" w14:paraId="6AD935C9" w14:textId="31581C6C">
      <w:pPr>
        <w:pStyle w:val="scemptylineheader"/>
      </w:pPr>
    </w:p>
    <w:p w:rsidRPr="00DF3B44" w:rsidR="00A73EFA" w:rsidP="00AE1438" w:rsidRDefault="00A73EFA" w14:paraId="51A98227" w14:textId="1C4735E6">
      <w:pPr>
        <w:pStyle w:val="scemptylineheader"/>
      </w:pPr>
    </w:p>
    <w:p w:rsidRPr="00DF3B44" w:rsidR="00A73EFA" w:rsidP="00AE1438" w:rsidRDefault="00A73EFA" w14:paraId="3858851A" w14:textId="72EB8A26">
      <w:pPr>
        <w:pStyle w:val="scemptylineheader"/>
      </w:pPr>
    </w:p>
    <w:p w:rsidRPr="00DF3B44" w:rsidR="00A73EFA" w:rsidP="00AE1438" w:rsidRDefault="00A73EFA" w14:paraId="4E3DDE20" w14:textId="511FCC9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31AF1" w14:paraId="40FEFADA" w14:textId="2B3A5A8D">
          <w:pPr>
            <w:pStyle w:val="scbilltitle"/>
          </w:pPr>
          <w:r>
            <w:t>TO AMEND THE SOUTH CAROLINA CODE OF LAWS BY AMENDING SECTION 6‑29‑720, RELATING TO ZONING ORDINANCES</w:t>
          </w:r>
          <w:r w:rsidR="00DA2781">
            <w:t>,</w:t>
          </w:r>
          <w:r>
            <w:t xml:space="preserve"> SO AS TO DEFINE “CONCURRENCY PROGRAMS”; AND BY AMENDING SECTION 6‑29‑1130, RELATING TO REGULATIONS, SO AS TO INCLUDE A REFERENCE TO AN ADOPTED CONCURRENCY PROGRAM.</w:t>
          </w:r>
        </w:p>
      </w:sdtContent>
    </w:sdt>
    <w:bookmarkStart w:name="at_ce80a001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afded25b" w:id="1"/>
      <w:r w:rsidRPr="0094541D">
        <w:t>B</w:t>
      </w:r>
      <w:bookmarkEnd w:id="1"/>
      <w:r w:rsidRPr="0094541D">
        <w:t>e it enacted by the General Assembly of the State of South Carolina:</w:t>
      </w:r>
    </w:p>
    <w:p w:rsidR="00F20D0E" w:rsidP="00F20D0E" w:rsidRDefault="00F20D0E" w14:paraId="02C543DF" w14:textId="77777777">
      <w:pPr>
        <w:pStyle w:val="scemptyline"/>
      </w:pPr>
    </w:p>
    <w:p w:rsidR="00F20D0E" w:rsidP="00F20D0E" w:rsidRDefault="00F20D0E" w14:paraId="31FA6C30" w14:textId="77777777">
      <w:pPr>
        <w:pStyle w:val="scdirectionallanguage"/>
      </w:pPr>
      <w:bookmarkStart w:name="bs_num_1_b2c824170" w:id="2"/>
      <w:r>
        <w:t>S</w:t>
      </w:r>
      <w:bookmarkEnd w:id="2"/>
      <w:r>
        <w:t>ECTION 1.</w:t>
      </w:r>
      <w:r>
        <w:tab/>
      </w:r>
      <w:bookmarkStart w:name="dl_18ace4c1b" w:id="3"/>
      <w:r>
        <w:t>S</w:t>
      </w:r>
      <w:bookmarkEnd w:id="3"/>
      <w:r>
        <w:t>ection 6-29-720(C) of the S.C. Code is amended to read:</w:t>
      </w:r>
    </w:p>
    <w:p w:rsidR="00F20D0E" w:rsidP="00F20D0E" w:rsidRDefault="00F20D0E" w14:paraId="1CA75420" w14:textId="77777777">
      <w:pPr>
        <w:pStyle w:val="sccodifiedsection"/>
      </w:pPr>
    </w:p>
    <w:p w:rsidR="00F20D0E" w:rsidP="00F20D0E" w:rsidRDefault="00F20D0E" w14:paraId="01CE045C" w14:textId="77777777">
      <w:pPr>
        <w:pStyle w:val="sccodifiedsection"/>
      </w:pPr>
      <w:bookmarkStart w:name="cs_T6C29N720_08a86183d" w:id="4"/>
      <w:r>
        <w:tab/>
      </w:r>
      <w:bookmarkStart w:name="ss_T6C29N720SC_lv1_5d6e19a8f" w:id="5"/>
      <w:bookmarkEnd w:id="4"/>
      <w:r>
        <w:t>(</w:t>
      </w:r>
      <w:bookmarkEnd w:id="5"/>
      <w:r>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p>
    <w:p w:rsidR="00F20D0E" w:rsidP="00F20D0E" w:rsidRDefault="00F20D0E" w14:paraId="09ABDFBD" w14:textId="77777777">
      <w:pPr>
        <w:pStyle w:val="sccodifiedsection"/>
      </w:pPr>
      <w:r>
        <w:tab/>
      </w:r>
      <w:r>
        <w:tab/>
      </w:r>
      <w:bookmarkStart w:name="ss_T6C29N720S1_lv2_d5fc08a06" w:id="6"/>
      <w:r>
        <w:t>(</w:t>
      </w:r>
      <w:bookmarkEnd w:id="6"/>
      <w:r>
        <w:t>1) “cluster development” or the grouping of residential, commercial, or industrial uses within a subdivision or development site, permitting a reduction in the otherwise applicable lot size, while preserving substantial open space on the remainder of the parcel;</w:t>
      </w:r>
    </w:p>
    <w:p w:rsidR="00F20D0E" w:rsidP="00F20D0E" w:rsidRDefault="00F20D0E" w14:paraId="10EF0CDF" w14:textId="77777777">
      <w:pPr>
        <w:pStyle w:val="sccodifiedsection"/>
      </w:pPr>
      <w:r>
        <w:tab/>
      </w:r>
      <w:r>
        <w:tab/>
      </w:r>
      <w:bookmarkStart w:name="ss_T6C29N720S2_lv2_12bb64d12" w:id="7"/>
      <w:r>
        <w:t>(</w:t>
      </w:r>
      <w:bookmarkEnd w:id="7"/>
      <w:r>
        <w:t>2) “floating zone” or a zone which is described in the text of a zoning ordinance but is unmapped. A property owner may petition for the zone to be applied to a particular parcel meeting the minimum zoning district area requirements of the zoning ordinance through legislative action;</w:t>
      </w:r>
    </w:p>
    <w:p w:rsidR="00F20D0E" w:rsidP="00F20D0E" w:rsidRDefault="00F20D0E" w14:paraId="7EF7EF56" w14:textId="78F6469D">
      <w:pPr>
        <w:pStyle w:val="sccodifiedsection"/>
      </w:pPr>
      <w:r>
        <w:tab/>
      </w:r>
      <w:r>
        <w:tab/>
      </w:r>
      <w:bookmarkStart w:name="ss_T6C29N720S3_lv2_6820531ce" w:id="8"/>
      <w:r>
        <w:t>(</w:t>
      </w:r>
      <w:bookmarkEnd w:id="8"/>
      <w:r>
        <w:t>3) “performance zoning” or zoning which specifies a minimum requirement or maximum limit on the effects of a land use rather than, or in addition to, specifying the use itself, simultaneously assuring compatibility with surrounding development and increasing a developer</w:t>
      </w:r>
      <w:r w:rsidR="0087737E">
        <w:t>’</w:t>
      </w:r>
      <w:r>
        <w:t>s flexibility;</w:t>
      </w:r>
    </w:p>
    <w:p w:rsidR="00F20D0E" w:rsidP="00F20D0E" w:rsidRDefault="00F20D0E" w14:paraId="79F7EBE5" w14:textId="77777777">
      <w:pPr>
        <w:pStyle w:val="sccodifiedsection"/>
      </w:pPr>
      <w:r>
        <w:tab/>
      </w:r>
      <w:r>
        <w:tab/>
      </w:r>
      <w:bookmarkStart w:name="ss_T6C29N720S4_lv2_55dca87e4" w:id="9"/>
      <w:r>
        <w:t>(</w:t>
      </w:r>
      <w:bookmarkEnd w:id="9"/>
      <w:r>
        <w:t>4) “planned development district” or a development project comprised of housing of different types and densities and of compatible commercial uses, or shopping centers, office parks, and mixed-use developments. A planned development district is established by rezoning prior to development and is characterized by a unified site design for a mixed use development;</w:t>
      </w:r>
    </w:p>
    <w:p w:rsidR="00F20D0E" w:rsidP="00F20D0E" w:rsidRDefault="00F20D0E" w14:paraId="1CA12B95" w14:textId="77777777">
      <w:pPr>
        <w:pStyle w:val="sccodifiedsection"/>
      </w:pPr>
      <w:r>
        <w:tab/>
      </w:r>
      <w:r>
        <w:tab/>
      </w:r>
      <w:bookmarkStart w:name="ss_T6C29N720S5_lv2_db0210297" w:id="10"/>
      <w:r>
        <w:t>(</w:t>
      </w:r>
      <w:bookmarkEnd w:id="10"/>
      <w:r>
        <w:t>5) “overlay zone” or a zone which imposes a set of requirements or relaxes a set of requirements imposed by the underlying zoning district when there is a special public interest in a particular geographic area that does not coincide with the underlying zone boundaries;</w:t>
      </w:r>
    </w:p>
    <w:p w:rsidR="00F20D0E" w:rsidP="00F20D0E" w:rsidRDefault="00F20D0E" w14:paraId="59565759" w14:textId="14DE548B">
      <w:pPr>
        <w:pStyle w:val="sccodifiedsection"/>
      </w:pPr>
      <w:r>
        <w:tab/>
      </w:r>
      <w:r>
        <w:tab/>
      </w:r>
      <w:bookmarkStart w:name="ss_T6C29N720S6_lv2_db41b9b5c" w:id="11"/>
      <w:r>
        <w:t>(</w:t>
      </w:r>
      <w:bookmarkEnd w:id="11"/>
      <w:r>
        <w:t xml:space="preserve">6) “conditional uses” or zoning ordinance provisions that impose conditions, restrictions, or limitations on a permitted use that are in addition to the restrictions applicable to all land in the zoning </w:t>
      </w:r>
      <w:r>
        <w:lastRenderedPageBreak/>
        <w:t xml:space="preserve">district. The conditions, restrictions, or limitations must be set forth in the text of the zoning ordinance;  </w:t>
      </w:r>
      <w:r>
        <w:rPr>
          <w:rStyle w:val="scstrike"/>
        </w:rPr>
        <w:t>and</w:t>
      </w:r>
    </w:p>
    <w:p w:rsidR="006B1444" w:rsidP="00F20D0E" w:rsidRDefault="00F20D0E" w14:paraId="7900B375" w14:textId="64979E34">
      <w:pPr>
        <w:pStyle w:val="sccodifiedsection"/>
      </w:pPr>
      <w:r>
        <w:tab/>
      </w:r>
      <w:r>
        <w:tab/>
      </w:r>
      <w:bookmarkStart w:name="ss_T6C29N720S7_lv2_14b77d160" w:id="12"/>
      <w:r>
        <w:t>(</w:t>
      </w:r>
      <w:bookmarkEnd w:id="12"/>
      <w:r>
        <w:t>7) “priority investment zone” in which the governing authority adopts market-based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r w:rsidR="006B1444">
        <w:rPr>
          <w:rStyle w:val="scinsert"/>
        </w:rPr>
        <w:t>;</w:t>
      </w:r>
      <w:r w:rsidR="009A716A">
        <w:rPr>
          <w:rStyle w:val="scinsert"/>
        </w:rPr>
        <w:t xml:space="preserve"> and</w:t>
      </w:r>
    </w:p>
    <w:p w:rsidR="006B1444" w:rsidP="006B1444" w:rsidRDefault="006B1444" w14:paraId="73EEC11A" w14:textId="28D6C853">
      <w:pPr>
        <w:pStyle w:val="sccodifiedsection"/>
      </w:pPr>
      <w:r>
        <w:rPr>
          <w:rStyle w:val="scinsert"/>
        </w:rPr>
        <w:tab/>
      </w:r>
      <w:r>
        <w:rPr>
          <w:rStyle w:val="scinsert"/>
        </w:rPr>
        <w:tab/>
      </w:r>
      <w:bookmarkStart w:name="ss_T6C29N720S8_lv2_6a5a6e22a" w:id="13"/>
      <w:r>
        <w:rPr>
          <w:rStyle w:val="scinsert"/>
        </w:rPr>
        <w:t>(</w:t>
      </w:r>
      <w:bookmarkEnd w:id="13"/>
      <w:r>
        <w:rPr>
          <w:rStyle w:val="scinsert"/>
        </w:rPr>
        <w:t>8) “concurrency programs” in which the governing authority conditions approval of land development activities on public facility and service adequacy. A concurrency program also may be referred to as an “adequate public facility program</w:t>
      </w:r>
      <w:r w:rsidR="00E63DA0">
        <w:rPr>
          <w:rStyle w:val="scinsert"/>
        </w:rPr>
        <w:t>.</w:t>
      </w:r>
      <w:r>
        <w:rPr>
          <w:rStyle w:val="scinsert"/>
        </w:rPr>
        <w:t>”</w:t>
      </w:r>
    </w:p>
    <w:p w:rsidR="006B1444" w:rsidP="006B1444" w:rsidRDefault="006B1444" w14:paraId="297302E0" w14:textId="77777777">
      <w:pPr>
        <w:pStyle w:val="sccodifiedsection"/>
      </w:pPr>
      <w:r>
        <w:rPr>
          <w:rStyle w:val="scinsert"/>
        </w:rPr>
        <w:tab/>
      </w:r>
      <w:r>
        <w:rPr>
          <w:rStyle w:val="scinsert"/>
        </w:rPr>
        <w:tab/>
      </w:r>
      <w:r>
        <w:rPr>
          <w:rStyle w:val="scinsert"/>
        </w:rPr>
        <w:tab/>
      </w:r>
      <w:bookmarkStart w:name="ss_T6C29N720Sa_lv3_9827e9683" w:id="14"/>
      <w:r>
        <w:rPr>
          <w:rStyle w:val="scinsert"/>
        </w:rPr>
        <w:t>(</w:t>
      </w:r>
      <w:bookmarkEnd w:id="14"/>
      <w:r>
        <w:rPr>
          <w:rStyle w:val="scinsert"/>
        </w:rPr>
        <w:t>a) Concurrency programs must ensure public facilities and services necessary to support development are adequate to serve that development, based on reasonable and locally documented level of service standards and proportionate share methodologies.</w:t>
      </w:r>
    </w:p>
    <w:p w:rsidR="006B1444" w:rsidP="006B1444" w:rsidRDefault="006B1444" w14:paraId="3C420BBD" w14:textId="77777777">
      <w:pPr>
        <w:pStyle w:val="sccodifiedsection"/>
      </w:pPr>
      <w:r>
        <w:rPr>
          <w:rStyle w:val="scinsert"/>
        </w:rPr>
        <w:tab/>
      </w:r>
      <w:r>
        <w:rPr>
          <w:rStyle w:val="scinsert"/>
        </w:rPr>
        <w:tab/>
      </w:r>
      <w:r>
        <w:rPr>
          <w:rStyle w:val="scinsert"/>
        </w:rPr>
        <w:tab/>
      </w:r>
      <w:bookmarkStart w:name="ss_T6C29N720Sb_lv3_752d98bc9" w:id="15"/>
      <w:r>
        <w:rPr>
          <w:rStyle w:val="scinsert"/>
        </w:rPr>
        <w:t>(</w:t>
      </w:r>
      <w:bookmarkEnd w:id="15"/>
      <w:r>
        <w:rPr>
          <w:rStyle w:val="scinsert"/>
        </w:rPr>
        <w:t>b) A governing authority adopting concurrency may require public facility and service contributions sufficient to offset a development’s proportionate share impacts on facilities and services and also may accept excess capacity contributions made pursuant to a written agreement with the property owner.</w:t>
      </w:r>
    </w:p>
    <w:p w:rsidR="006B1444" w:rsidP="006B1444" w:rsidRDefault="006B1444" w14:paraId="4CC92C9F" w14:textId="77777777">
      <w:pPr>
        <w:pStyle w:val="sccodifiedsection"/>
      </w:pPr>
      <w:r>
        <w:rPr>
          <w:rStyle w:val="scinsert"/>
        </w:rPr>
        <w:tab/>
      </w:r>
      <w:r>
        <w:rPr>
          <w:rStyle w:val="scinsert"/>
        </w:rPr>
        <w:tab/>
      </w:r>
      <w:r>
        <w:rPr>
          <w:rStyle w:val="scinsert"/>
        </w:rPr>
        <w:tab/>
      </w:r>
      <w:bookmarkStart w:name="ss_T6C29N720Sc_lv3_a67a64b19" w:id="16"/>
      <w:r>
        <w:rPr>
          <w:rStyle w:val="scinsert"/>
        </w:rPr>
        <w:t>(</w:t>
      </w:r>
      <w:bookmarkEnd w:id="16"/>
      <w:r>
        <w:rPr>
          <w:rStyle w:val="scinsert"/>
        </w:rPr>
        <w:t>c) However, under this subsection, the governing authority must take into consideration any contributions made by payment of development impact fees or other instruments for the same impacts on relevant facilities and services.</w:t>
      </w:r>
    </w:p>
    <w:p w:rsidR="00F20D0E" w:rsidP="006B1444" w:rsidRDefault="006B1444" w14:paraId="1F0EF533" w14:textId="5CC1BD3B">
      <w:pPr>
        <w:pStyle w:val="sccodifiedsection"/>
      </w:pPr>
      <w:r>
        <w:rPr>
          <w:rStyle w:val="scinsert"/>
        </w:rPr>
        <w:tab/>
      </w:r>
      <w:r>
        <w:rPr>
          <w:rStyle w:val="scinsert"/>
        </w:rPr>
        <w:tab/>
      </w:r>
      <w:r>
        <w:rPr>
          <w:rStyle w:val="scinsert"/>
        </w:rPr>
        <w:tab/>
      </w:r>
      <w:bookmarkStart w:name="ss_T6C29N720Sd_lv3_d35a8fddc" w:id="17"/>
      <w:r>
        <w:rPr>
          <w:rStyle w:val="scinsert"/>
        </w:rPr>
        <w:t>(</w:t>
      </w:r>
      <w:bookmarkEnd w:id="17"/>
      <w:r>
        <w:rPr>
          <w:rStyle w:val="scinsert"/>
        </w:rPr>
        <w:t>d) Local governing authorities and property owners may enter into written proportionate share, cost sharing, or other similar agreements to facilitate exercise of any authority or requirement under this subsection.</w:t>
      </w:r>
    </w:p>
    <w:p w:rsidR="006B77E5" w:rsidP="006B77E5" w:rsidRDefault="006B77E5" w14:paraId="27CD7EC5" w14:textId="64C9715D">
      <w:pPr>
        <w:pStyle w:val="scemptyline"/>
      </w:pPr>
    </w:p>
    <w:p w:rsidR="006B77E5" w:rsidP="006B77E5" w:rsidRDefault="006B77E5" w14:paraId="7D2621D3" w14:textId="77777777">
      <w:pPr>
        <w:pStyle w:val="scdirectionallanguage"/>
      </w:pPr>
      <w:bookmarkStart w:name="bs_num_2_b628dd697" w:id="18"/>
      <w:r>
        <w:t>S</w:t>
      </w:r>
      <w:bookmarkEnd w:id="18"/>
      <w:r>
        <w:t>ECTION 2.</w:t>
      </w:r>
      <w:r>
        <w:tab/>
      </w:r>
      <w:bookmarkStart w:name="dl_4effa0ebe" w:id="19"/>
      <w:r>
        <w:t>S</w:t>
      </w:r>
      <w:bookmarkEnd w:id="19"/>
      <w:r>
        <w:t>ection 6‑29‑1130(A) of the S.C. Code is amended to read:</w:t>
      </w:r>
    </w:p>
    <w:p w:rsidR="006B77E5" w:rsidP="006B77E5" w:rsidRDefault="006B77E5" w14:paraId="2285ADE9" w14:textId="77777777">
      <w:pPr>
        <w:pStyle w:val="sccodifiedsection"/>
      </w:pPr>
    </w:p>
    <w:p w:rsidR="006B77E5" w:rsidP="006B77E5" w:rsidRDefault="006B77E5" w14:paraId="38EDDB80" w14:textId="206A72C6">
      <w:pPr>
        <w:pStyle w:val="sccodifiedsection"/>
      </w:pPr>
      <w:bookmarkStart w:name="cs_T6C29N1130_a86350936" w:id="20"/>
      <w:r>
        <w:tab/>
      </w:r>
      <w:bookmarkStart w:name="ss_T6C29N1130SA_lv1_f6239e55b" w:id="21"/>
      <w:bookmarkEnd w:id="20"/>
      <w:r>
        <w:t>(</w:t>
      </w:r>
      <w:bookmarkEnd w:id="21"/>
      <w:r>
        <w:t>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w:t>
      </w:r>
      <w:r w:rsidR="00831AF1">
        <w:rPr>
          <w:rStyle w:val="scinsert"/>
        </w:rPr>
        <w:t>, including by an adopted concurrency program</w:t>
      </w:r>
      <w:r>
        <w:t>;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p>
    <w:p w:rsidRPr="00DF3B44" w:rsidR="007E06BB" w:rsidP="00787433" w:rsidRDefault="007E06BB" w14:paraId="3D8F1FED" w14:textId="1185111A">
      <w:pPr>
        <w:pStyle w:val="scemptyline"/>
      </w:pPr>
    </w:p>
    <w:p w:rsidRPr="00DF3B44" w:rsidR="007A10F1" w:rsidP="007A10F1" w:rsidRDefault="00E27805" w14:paraId="0E9393B4" w14:textId="3A662836">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F6F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324F5FD" w:rsidR="00685035" w:rsidRPr="007B4AF7" w:rsidRDefault="00C736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C6BDB">
              <w:t>[4050]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6BD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530"/>
    <w:rsid w:val="00074A4F"/>
    <w:rsid w:val="00077B65"/>
    <w:rsid w:val="00082046"/>
    <w:rsid w:val="000A145F"/>
    <w:rsid w:val="000A3C25"/>
    <w:rsid w:val="000A52C9"/>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1856"/>
    <w:rsid w:val="001730EB"/>
    <w:rsid w:val="00173276"/>
    <w:rsid w:val="00176122"/>
    <w:rsid w:val="00187768"/>
    <w:rsid w:val="0019025B"/>
    <w:rsid w:val="00192AF7"/>
    <w:rsid w:val="00197366"/>
    <w:rsid w:val="001A136C"/>
    <w:rsid w:val="001A6E62"/>
    <w:rsid w:val="001B50AE"/>
    <w:rsid w:val="001B6DA2"/>
    <w:rsid w:val="001C25EC"/>
    <w:rsid w:val="001C2D26"/>
    <w:rsid w:val="001F2A41"/>
    <w:rsid w:val="001F313F"/>
    <w:rsid w:val="001F331D"/>
    <w:rsid w:val="001F394C"/>
    <w:rsid w:val="002038AA"/>
    <w:rsid w:val="002114C8"/>
    <w:rsid w:val="0021166F"/>
    <w:rsid w:val="00214FCD"/>
    <w:rsid w:val="002162DF"/>
    <w:rsid w:val="00230038"/>
    <w:rsid w:val="00233975"/>
    <w:rsid w:val="00236D73"/>
    <w:rsid w:val="00246535"/>
    <w:rsid w:val="00247B8A"/>
    <w:rsid w:val="00257F60"/>
    <w:rsid w:val="002625EA"/>
    <w:rsid w:val="00262AC5"/>
    <w:rsid w:val="002640C3"/>
    <w:rsid w:val="00264AE9"/>
    <w:rsid w:val="00275AE6"/>
    <w:rsid w:val="002836D8"/>
    <w:rsid w:val="002936F6"/>
    <w:rsid w:val="002A014F"/>
    <w:rsid w:val="002A7989"/>
    <w:rsid w:val="002B02F3"/>
    <w:rsid w:val="002C3463"/>
    <w:rsid w:val="002D266D"/>
    <w:rsid w:val="002D5B3D"/>
    <w:rsid w:val="002D731C"/>
    <w:rsid w:val="002D7447"/>
    <w:rsid w:val="002E315A"/>
    <w:rsid w:val="002E4F8C"/>
    <w:rsid w:val="002F4ED0"/>
    <w:rsid w:val="002F502C"/>
    <w:rsid w:val="002F560C"/>
    <w:rsid w:val="002F5847"/>
    <w:rsid w:val="0030425A"/>
    <w:rsid w:val="00326EB5"/>
    <w:rsid w:val="0033329A"/>
    <w:rsid w:val="003421F1"/>
    <w:rsid w:val="0034279C"/>
    <w:rsid w:val="00354F64"/>
    <w:rsid w:val="003559A1"/>
    <w:rsid w:val="00360E34"/>
    <w:rsid w:val="00361563"/>
    <w:rsid w:val="00370490"/>
    <w:rsid w:val="003711D5"/>
    <w:rsid w:val="00371D36"/>
    <w:rsid w:val="00373E17"/>
    <w:rsid w:val="003770ED"/>
    <w:rsid w:val="003775E6"/>
    <w:rsid w:val="00381998"/>
    <w:rsid w:val="00385997"/>
    <w:rsid w:val="003A1732"/>
    <w:rsid w:val="003A2463"/>
    <w:rsid w:val="003A5F1C"/>
    <w:rsid w:val="003B5ECA"/>
    <w:rsid w:val="003C2B5B"/>
    <w:rsid w:val="003C3E2E"/>
    <w:rsid w:val="003D4A3C"/>
    <w:rsid w:val="003D55B2"/>
    <w:rsid w:val="003E0033"/>
    <w:rsid w:val="003E5452"/>
    <w:rsid w:val="003E64D6"/>
    <w:rsid w:val="003E68B6"/>
    <w:rsid w:val="003E7165"/>
    <w:rsid w:val="003E7FF6"/>
    <w:rsid w:val="004046B5"/>
    <w:rsid w:val="004047CF"/>
    <w:rsid w:val="00406F27"/>
    <w:rsid w:val="004141B8"/>
    <w:rsid w:val="004203B9"/>
    <w:rsid w:val="00432135"/>
    <w:rsid w:val="004331DA"/>
    <w:rsid w:val="00434E1C"/>
    <w:rsid w:val="00440E27"/>
    <w:rsid w:val="0044129D"/>
    <w:rsid w:val="00446987"/>
    <w:rsid w:val="00446D28"/>
    <w:rsid w:val="00466CD0"/>
    <w:rsid w:val="004708D4"/>
    <w:rsid w:val="00473583"/>
    <w:rsid w:val="00477F32"/>
    <w:rsid w:val="00481850"/>
    <w:rsid w:val="004851A0"/>
    <w:rsid w:val="0048627F"/>
    <w:rsid w:val="004932AB"/>
    <w:rsid w:val="00494BEF"/>
    <w:rsid w:val="004A3E24"/>
    <w:rsid w:val="004A5512"/>
    <w:rsid w:val="004A6BE5"/>
    <w:rsid w:val="004B0C18"/>
    <w:rsid w:val="004C1A04"/>
    <w:rsid w:val="004C20BC"/>
    <w:rsid w:val="004C4557"/>
    <w:rsid w:val="004C5C9A"/>
    <w:rsid w:val="004D1442"/>
    <w:rsid w:val="004D2206"/>
    <w:rsid w:val="004D3DCB"/>
    <w:rsid w:val="004E1946"/>
    <w:rsid w:val="004E66E9"/>
    <w:rsid w:val="004E7DDE"/>
    <w:rsid w:val="004F0090"/>
    <w:rsid w:val="004F172C"/>
    <w:rsid w:val="004F6F9C"/>
    <w:rsid w:val="005002ED"/>
    <w:rsid w:val="00500DBC"/>
    <w:rsid w:val="005102BE"/>
    <w:rsid w:val="00523F7F"/>
    <w:rsid w:val="00524D54"/>
    <w:rsid w:val="0054531B"/>
    <w:rsid w:val="00546C24"/>
    <w:rsid w:val="005476FF"/>
    <w:rsid w:val="005516F6"/>
    <w:rsid w:val="00552842"/>
    <w:rsid w:val="0055319F"/>
    <w:rsid w:val="00554E89"/>
    <w:rsid w:val="00560266"/>
    <w:rsid w:val="00564B58"/>
    <w:rsid w:val="00572281"/>
    <w:rsid w:val="005801DD"/>
    <w:rsid w:val="00587D47"/>
    <w:rsid w:val="00592A40"/>
    <w:rsid w:val="005A2019"/>
    <w:rsid w:val="005A28BC"/>
    <w:rsid w:val="005A5377"/>
    <w:rsid w:val="005B1BAD"/>
    <w:rsid w:val="005B7817"/>
    <w:rsid w:val="005B7E5E"/>
    <w:rsid w:val="005C06C8"/>
    <w:rsid w:val="005C23D7"/>
    <w:rsid w:val="005C40EB"/>
    <w:rsid w:val="005D02B4"/>
    <w:rsid w:val="005D3013"/>
    <w:rsid w:val="005D597F"/>
    <w:rsid w:val="005E1E50"/>
    <w:rsid w:val="005E2B9C"/>
    <w:rsid w:val="005E3332"/>
    <w:rsid w:val="005F76B0"/>
    <w:rsid w:val="0060235D"/>
    <w:rsid w:val="00604429"/>
    <w:rsid w:val="006067B0"/>
    <w:rsid w:val="00606A8B"/>
    <w:rsid w:val="00611EBA"/>
    <w:rsid w:val="006213A8"/>
    <w:rsid w:val="00623BEA"/>
    <w:rsid w:val="006347E9"/>
    <w:rsid w:val="00640C87"/>
    <w:rsid w:val="00644A09"/>
    <w:rsid w:val="006454BB"/>
    <w:rsid w:val="006545A6"/>
    <w:rsid w:val="00656AD8"/>
    <w:rsid w:val="006576EA"/>
    <w:rsid w:val="00657CF4"/>
    <w:rsid w:val="00661463"/>
    <w:rsid w:val="00663B8D"/>
    <w:rsid w:val="00663E00"/>
    <w:rsid w:val="00664F48"/>
    <w:rsid w:val="00664FAD"/>
    <w:rsid w:val="0067345B"/>
    <w:rsid w:val="00683986"/>
    <w:rsid w:val="00685035"/>
    <w:rsid w:val="00685770"/>
    <w:rsid w:val="00690D8D"/>
    <w:rsid w:val="00690DBA"/>
    <w:rsid w:val="00692C63"/>
    <w:rsid w:val="006964F9"/>
    <w:rsid w:val="006968D5"/>
    <w:rsid w:val="006A395F"/>
    <w:rsid w:val="006A65E2"/>
    <w:rsid w:val="006B1444"/>
    <w:rsid w:val="006B1AC0"/>
    <w:rsid w:val="006B37BD"/>
    <w:rsid w:val="006B3B54"/>
    <w:rsid w:val="006B77E5"/>
    <w:rsid w:val="006C092D"/>
    <w:rsid w:val="006C099D"/>
    <w:rsid w:val="006C18F0"/>
    <w:rsid w:val="006C7E01"/>
    <w:rsid w:val="006D64A5"/>
    <w:rsid w:val="006E0935"/>
    <w:rsid w:val="006E353F"/>
    <w:rsid w:val="006E35AB"/>
    <w:rsid w:val="006E5AFB"/>
    <w:rsid w:val="006E7791"/>
    <w:rsid w:val="006F0E45"/>
    <w:rsid w:val="00711AA9"/>
    <w:rsid w:val="007168B0"/>
    <w:rsid w:val="00722155"/>
    <w:rsid w:val="00724621"/>
    <w:rsid w:val="00737F19"/>
    <w:rsid w:val="0076659B"/>
    <w:rsid w:val="0077772A"/>
    <w:rsid w:val="00782BF8"/>
    <w:rsid w:val="00783C75"/>
    <w:rsid w:val="007849D9"/>
    <w:rsid w:val="00787433"/>
    <w:rsid w:val="00792327"/>
    <w:rsid w:val="007A10F1"/>
    <w:rsid w:val="007A3D50"/>
    <w:rsid w:val="007B2D29"/>
    <w:rsid w:val="007B412F"/>
    <w:rsid w:val="007B4AF7"/>
    <w:rsid w:val="007B4DBF"/>
    <w:rsid w:val="007B4FE0"/>
    <w:rsid w:val="007C5458"/>
    <w:rsid w:val="007D2C67"/>
    <w:rsid w:val="007E06BB"/>
    <w:rsid w:val="007E2547"/>
    <w:rsid w:val="007F1789"/>
    <w:rsid w:val="007F4487"/>
    <w:rsid w:val="007F50D1"/>
    <w:rsid w:val="00816D52"/>
    <w:rsid w:val="00831048"/>
    <w:rsid w:val="00831AF1"/>
    <w:rsid w:val="00834272"/>
    <w:rsid w:val="00836437"/>
    <w:rsid w:val="008625C1"/>
    <w:rsid w:val="0087671D"/>
    <w:rsid w:val="0087737E"/>
    <w:rsid w:val="008806F9"/>
    <w:rsid w:val="008847B7"/>
    <w:rsid w:val="00887957"/>
    <w:rsid w:val="00893681"/>
    <w:rsid w:val="008A57E3"/>
    <w:rsid w:val="008B5BF4"/>
    <w:rsid w:val="008C0CEE"/>
    <w:rsid w:val="008C1B18"/>
    <w:rsid w:val="008D46EC"/>
    <w:rsid w:val="008E0E25"/>
    <w:rsid w:val="008E61A1"/>
    <w:rsid w:val="009031EF"/>
    <w:rsid w:val="00907DCC"/>
    <w:rsid w:val="00917EA3"/>
    <w:rsid w:val="00917EE0"/>
    <w:rsid w:val="00921C89"/>
    <w:rsid w:val="00926966"/>
    <w:rsid w:val="00926D03"/>
    <w:rsid w:val="00926F9B"/>
    <w:rsid w:val="00930342"/>
    <w:rsid w:val="00934036"/>
    <w:rsid w:val="00934889"/>
    <w:rsid w:val="0094541D"/>
    <w:rsid w:val="009473EA"/>
    <w:rsid w:val="00952A75"/>
    <w:rsid w:val="00954E7E"/>
    <w:rsid w:val="009554D9"/>
    <w:rsid w:val="009572F9"/>
    <w:rsid w:val="00960D0F"/>
    <w:rsid w:val="00962C73"/>
    <w:rsid w:val="009756EB"/>
    <w:rsid w:val="0098366F"/>
    <w:rsid w:val="00983A03"/>
    <w:rsid w:val="00986063"/>
    <w:rsid w:val="00991F67"/>
    <w:rsid w:val="00992876"/>
    <w:rsid w:val="009A0DCE"/>
    <w:rsid w:val="009A22CD"/>
    <w:rsid w:val="009A3E4B"/>
    <w:rsid w:val="009A716A"/>
    <w:rsid w:val="009B1FDD"/>
    <w:rsid w:val="009B35FD"/>
    <w:rsid w:val="009B6815"/>
    <w:rsid w:val="009C6BDB"/>
    <w:rsid w:val="009D2967"/>
    <w:rsid w:val="009D2E96"/>
    <w:rsid w:val="009D3C2B"/>
    <w:rsid w:val="009E4191"/>
    <w:rsid w:val="009F2AB1"/>
    <w:rsid w:val="009F4FAF"/>
    <w:rsid w:val="009F68F1"/>
    <w:rsid w:val="009F6C6A"/>
    <w:rsid w:val="00A020EE"/>
    <w:rsid w:val="00A04529"/>
    <w:rsid w:val="00A0584B"/>
    <w:rsid w:val="00A17135"/>
    <w:rsid w:val="00A21A6F"/>
    <w:rsid w:val="00A24E56"/>
    <w:rsid w:val="00A26A62"/>
    <w:rsid w:val="00A33400"/>
    <w:rsid w:val="00A35A9B"/>
    <w:rsid w:val="00A4070E"/>
    <w:rsid w:val="00A40CA0"/>
    <w:rsid w:val="00A504A7"/>
    <w:rsid w:val="00A53677"/>
    <w:rsid w:val="00A53BF2"/>
    <w:rsid w:val="00A60D68"/>
    <w:rsid w:val="00A700B7"/>
    <w:rsid w:val="00A73EFA"/>
    <w:rsid w:val="00A7589D"/>
    <w:rsid w:val="00A77A3B"/>
    <w:rsid w:val="00A92F6F"/>
    <w:rsid w:val="00A97523"/>
    <w:rsid w:val="00AA7824"/>
    <w:rsid w:val="00AB0FA3"/>
    <w:rsid w:val="00AB2974"/>
    <w:rsid w:val="00AB73BF"/>
    <w:rsid w:val="00AC335C"/>
    <w:rsid w:val="00AC463E"/>
    <w:rsid w:val="00AD3BE2"/>
    <w:rsid w:val="00AD3E3D"/>
    <w:rsid w:val="00AE1438"/>
    <w:rsid w:val="00AE1A27"/>
    <w:rsid w:val="00AE1EE4"/>
    <w:rsid w:val="00AE36EC"/>
    <w:rsid w:val="00AE7406"/>
    <w:rsid w:val="00AF1688"/>
    <w:rsid w:val="00AF46E6"/>
    <w:rsid w:val="00AF5139"/>
    <w:rsid w:val="00B06EDA"/>
    <w:rsid w:val="00B1161F"/>
    <w:rsid w:val="00B11661"/>
    <w:rsid w:val="00B150C2"/>
    <w:rsid w:val="00B24A03"/>
    <w:rsid w:val="00B32B4D"/>
    <w:rsid w:val="00B4137E"/>
    <w:rsid w:val="00B54DF7"/>
    <w:rsid w:val="00B56223"/>
    <w:rsid w:val="00B56E79"/>
    <w:rsid w:val="00B57AA7"/>
    <w:rsid w:val="00B601BA"/>
    <w:rsid w:val="00B612A5"/>
    <w:rsid w:val="00B637AA"/>
    <w:rsid w:val="00B63BE2"/>
    <w:rsid w:val="00B7592C"/>
    <w:rsid w:val="00B809D3"/>
    <w:rsid w:val="00B84B66"/>
    <w:rsid w:val="00B85475"/>
    <w:rsid w:val="00B9090A"/>
    <w:rsid w:val="00B92196"/>
    <w:rsid w:val="00B9228D"/>
    <w:rsid w:val="00B929EC"/>
    <w:rsid w:val="00BB0725"/>
    <w:rsid w:val="00BB1F88"/>
    <w:rsid w:val="00BC3BDF"/>
    <w:rsid w:val="00BC408A"/>
    <w:rsid w:val="00BC5023"/>
    <w:rsid w:val="00BC556C"/>
    <w:rsid w:val="00BD42DA"/>
    <w:rsid w:val="00BD4684"/>
    <w:rsid w:val="00BE08A7"/>
    <w:rsid w:val="00BE4391"/>
    <w:rsid w:val="00BF3E48"/>
    <w:rsid w:val="00C15F1B"/>
    <w:rsid w:val="00C16288"/>
    <w:rsid w:val="00C17555"/>
    <w:rsid w:val="00C17D1D"/>
    <w:rsid w:val="00C45923"/>
    <w:rsid w:val="00C512C8"/>
    <w:rsid w:val="00C53441"/>
    <w:rsid w:val="00C543E7"/>
    <w:rsid w:val="00C64EDA"/>
    <w:rsid w:val="00C70225"/>
    <w:rsid w:val="00C72198"/>
    <w:rsid w:val="00C73C7D"/>
    <w:rsid w:val="00C75005"/>
    <w:rsid w:val="00C80D99"/>
    <w:rsid w:val="00C859CB"/>
    <w:rsid w:val="00C941A3"/>
    <w:rsid w:val="00C970DF"/>
    <w:rsid w:val="00CA7E71"/>
    <w:rsid w:val="00CB2673"/>
    <w:rsid w:val="00CB701D"/>
    <w:rsid w:val="00CC3F0E"/>
    <w:rsid w:val="00CD08C9"/>
    <w:rsid w:val="00CD1FE8"/>
    <w:rsid w:val="00CD33C6"/>
    <w:rsid w:val="00CD38CD"/>
    <w:rsid w:val="00CD3E0C"/>
    <w:rsid w:val="00CD5565"/>
    <w:rsid w:val="00CD616C"/>
    <w:rsid w:val="00CF3A7D"/>
    <w:rsid w:val="00CF68D6"/>
    <w:rsid w:val="00CF69F0"/>
    <w:rsid w:val="00CF7AF6"/>
    <w:rsid w:val="00CF7B4A"/>
    <w:rsid w:val="00D009F8"/>
    <w:rsid w:val="00D078DA"/>
    <w:rsid w:val="00D14995"/>
    <w:rsid w:val="00D14A28"/>
    <w:rsid w:val="00D172A4"/>
    <w:rsid w:val="00D204F2"/>
    <w:rsid w:val="00D2455C"/>
    <w:rsid w:val="00D25023"/>
    <w:rsid w:val="00D27F8C"/>
    <w:rsid w:val="00D33843"/>
    <w:rsid w:val="00D54A6F"/>
    <w:rsid w:val="00D54FDF"/>
    <w:rsid w:val="00D57D57"/>
    <w:rsid w:val="00D62E42"/>
    <w:rsid w:val="00D75A73"/>
    <w:rsid w:val="00D772FB"/>
    <w:rsid w:val="00D96E7B"/>
    <w:rsid w:val="00DA1AA0"/>
    <w:rsid w:val="00DA2781"/>
    <w:rsid w:val="00DA512B"/>
    <w:rsid w:val="00DC44A8"/>
    <w:rsid w:val="00DC7186"/>
    <w:rsid w:val="00DD3D77"/>
    <w:rsid w:val="00DE4BEE"/>
    <w:rsid w:val="00DE5B3D"/>
    <w:rsid w:val="00DE7112"/>
    <w:rsid w:val="00DF19BE"/>
    <w:rsid w:val="00DF3B44"/>
    <w:rsid w:val="00E1372E"/>
    <w:rsid w:val="00E1778D"/>
    <w:rsid w:val="00E21D30"/>
    <w:rsid w:val="00E24D9A"/>
    <w:rsid w:val="00E27805"/>
    <w:rsid w:val="00E27A11"/>
    <w:rsid w:val="00E30497"/>
    <w:rsid w:val="00E33D4B"/>
    <w:rsid w:val="00E358A2"/>
    <w:rsid w:val="00E35C9A"/>
    <w:rsid w:val="00E3771B"/>
    <w:rsid w:val="00E40979"/>
    <w:rsid w:val="00E43F26"/>
    <w:rsid w:val="00E52A36"/>
    <w:rsid w:val="00E6378B"/>
    <w:rsid w:val="00E63DA0"/>
    <w:rsid w:val="00E63EC3"/>
    <w:rsid w:val="00E653DA"/>
    <w:rsid w:val="00E65958"/>
    <w:rsid w:val="00E65D9F"/>
    <w:rsid w:val="00E84FE5"/>
    <w:rsid w:val="00E879A5"/>
    <w:rsid w:val="00E879FC"/>
    <w:rsid w:val="00EA1F52"/>
    <w:rsid w:val="00EA2574"/>
    <w:rsid w:val="00EA2F1F"/>
    <w:rsid w:val="00EA3F2E"/>
    <w:rsid w:val="00EA57EC"/>
    <w:rsid w:val="00EA6208"/>
    <w:rsid w:val="00EB120E"/>
    <w:rsid w:val="00EB34C8"/>
    <w:rsid w:val="00EB46E2"/>
    <w:rsid w:val="00EC0045"/>
    <w:rsid w:val="00ED452E"/>
    <w:rsid w:val="00EE3CDA"/>
    <w:rsid w:val="00EE7E33"/>
    <w:rsid w:val="00EF37A8"/>
    <w:rsid w:val="00EF531F"/>
    <w:rsid w:val="00F05FE8"/>
    <w:rsid w:val="00F06D86"/>
    <w:rsid w:val="00F13D87"/>
    <w:rsid w:val="00F149E5"/>
    <w:rsid w:val="00F15E33"/>
    <w:rsid w:val="00F17DA2"/>
    <w:rsid w:val="00F20D0E"/>
    <w:rsid w:val="00F21FCC"/>
    <w:rsid w:val="00F22EC0"/>
    <w:rsid w:val="00F237D6"/>
    <w:rsid w:val="00F25C47"/>
    <w:rsid w:val="00F27D7B"/>
    <w:rsid w:val="00F31D34"/>
    <w:rsid w:val="00F342A1"/>
    <w:rsid w:val="00F36FBA"/>
    <w:rsid w:val="00F43D64"/>
    <w:rsid w:val="00F44D36"/>
    <w:rsid w:val="00F46262"/>
    <w:rsid w:val="00F4795D"/>
    <w:rsid w:val="00F50A61"/>
    <w:rsid w:val="00F525CD"/>
    <w:rsid w:val="00F5286C"/>
    <w:rsid w:val="00F52E12"/>
    <w:rsid w:val="00F638CA"/>
    <w:rsid w:val="00F657C5"/>
    <w:rsid w:val="00F900B4"/>
    <w:rsid w:val="00F92436"/>
    <w:rsid w:val="00FA0F2E"/>
    <w:rsid w:val="00FA4DB1"/>
    <w:rsid w:val="00FB3F2A"/>
    <w:rsid w:val="00FB780C"/>
    <w:rsid w:val="00FC3593"/>
    <w:rsid w:val="00FD117D"/>
    <w:rsid w:val="00FD55B9"/>
    <w:rsid w:val="00FD72E3"/>
    <w:rsid w:val="00FE06FC"/>
    <w:rsid w:val="00FE792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BD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C6BDB"/>
    <w:rPr>
      <w:rFonts w:ascii="Times New Roman" w:hAnsi="Times New Roman"/>
      <w:b w:val="0"/>
      <w:i w:val="0"/>
      <w:sz w:val="22"/>
    </w:rPr>
  </w:style>
  <w:style w:type="paragraph" w:styleId="NoSpacing">
    <w:name w:val="No Spacing"/>
    <w:uiPriority w:val="1"/>
    <w:qFormat/>
    <w:rsid w:val="009C6BDB"/>
    <w:pPr>
      <w:spacing w:after="0" w:line="240" w:lineRule="auto"/>
    </w:pPr>
  </w:style>
  <w:style w:type="paragraph" w:customStyle="1" w:styleId="scemptylineheader">
    <w:name w:val="sc_emptyline_header"/>
    <w:qFormat/>
    <w:rsid w:val="009C6BD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C6BD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C6BD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C6BD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C6B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C6BDB"/>
    <w:rPr>
      <w:color w:val="808080"/>
    </w:rPr>
  </w:style>
  <w:style w:type="paragraph" w:customStyle="1" w:styleId="scdirectionallanguage">
    <w:name w:val="sc_directional_language"/>
    <w:qFormat/>
    <w:rsid w:val="009C6B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C6BD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C6BD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C6BD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C6BD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C6B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C6BD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C6BD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C6B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C6B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C6BD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C6BD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C6BD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C6BD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C6BD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C6BD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C6BDB"/>
    <w:rPr>
      <w:rFonts w:ascii="Times New Roman" w:hAnsi="Times New Roman"/>
      <w:color w:val="auto"/>
      <w:sz w:val="22"/>
    </w:rPr>
  </w:style>
  <w:style w:type="paragraph" w:customStyle="1" w:styleId="scclippagebillheader">
    <w:name w:val="sc_clip_page_bill_header"/>
    <w:qFormat/>
    <w:rsid w:val="009C6B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C6BD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C6BD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C6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BDB"/>
    <w:rPr>
      <w:lang w:val="en-US"/>
    </w:rPr>
  </w:style>
  <w:style w:type="paragraph" w:styleId="Footer">
    <w:name w:val="footer"/>
    <w:basedOn w:val="Normal"/>
    <w:link w:val="FooterChar"/>
    <w:uiPriority w:val="99"/>
    <w:unhideWhenUsed/>
    <w:rsid w:val="009C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BDB"/>
    <w:rPr>
      <w:lang w:val="en-US"/>
    </w:rPr>
  </w:style>
  <w:style w:type="paragraph" w:styleId="ListParagraph">
    <w:name w:val="List Paragraph"/>
    <w:basedOn w:val="Normal"/>
    <w:uiPriority w:val="34"/>
    <w:qFormat/>
    <w:rsid w:val="009C6BDB"/>
    <w:pPr>
      <w:ind w:left="720"/>
      <w:contextualSpacing/>
    </w:pPr>
  </w:style>
  <w:style w:type="paragraph" w:customStyle="1" w:styleId="scbillfooter">
    <w:name w:val="sc_bill_footer"/>
    <w:qFormat/>
    <w:rsid w:val="009C6BD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C6BD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C6BD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C6BD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C6BD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C6BDB"/>
    <w:pPr>
      <w:widowControl w:val="0"/>
      <w:suppressAutoHyphens/>
      <w:spacing w:after="0" w:line="360" w:lineRule="auto"/>
    </w:pPr>
    <w:rPr>
      <w:rFonts w:ascii="Times New Roman" w:hAnsi="Times New Roman"/>
      <w:lang w:val="en-US"/>
    </w:rPr>
  </w:style>
  <w:style w:type="paragraph" w:customStyle="1" w:styleId="sctableln">
    <w:name w:val="sc_table_ln"/>
    <w:qFormat/>
    <w:rsid w:val="009C6BD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C6BD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C6BDB"/>
    <w:rPr>
      <w:strike/>
      <w:dstrike w:val="0"/>
    </w:rPr>
  </w:style>
  <w:style w:type="character" w:customStyle="1" w:styleId="scinsert">
    <w:name w:val="sc_insert"/>
    <w:uiPriority w:val="1"/>
    <w:qFormat/>
    <w:rsid w:val="009C6BDB"/>
    <w:rPr>
      <w:caps w:val="0"/>
      <w:smallCaps w:val="0"/>
      <w:strike w:val="0"/>
      <w:dstrike w:val="0"/>
      <w:vanish w:val="0"/>
      <w:u w:val="single"/>
      <w:vertAlign w:val="baseline"/>
    </w:rPr>
  </w:style>
  <w:style w:type="character" w:customStyle="1" w:styleId="scinsertred">
    <w:name w:val="sc_insert_red"/>
    <w:uiPriority w:val="1"/>
    <w:qFormat/>
    <w:rsid w:val="009C6BDB"/>
    <w:rPr>
      <w:caps w:val="0"/>
      <w:smallCaps w:val="0"/>
      <w:strike w:val="0"/>
      <w:dstrike w:val="0"/>
      <w:vanish w:val="0"/>
      <w:color w:val="FF0000"/>
      <w:u w:val="single"/>
      <w:vertAlign w:val="baseline"/>
    </w:rPr>
  </w:style>
  <w:style w:type="character" w:customStyle="1" w:styleId="scinsertblue">
    <w:name w:val="sc_insert_blue"/>
    <w:uiPriority w:val="1"/>
    <w:qFormat/>
    <w:rsid w:val="009C6BDB"/>
    <w:rPr>
      <w:caps w:val="0"/>
      <w:smallCaps w:val="0"/>
      <w:strike w:val="0"/>
      <w:dstrike w:val="0"/>
      <w:vanish w:val="0"/>
      <w:color w:val="0070C0"/>
      <w:u w:val="single"/>
      <w:vertAlign w:val="baseline"/>
    </w:rPr>
  </w:style>
  <w:style w:type="character" w:customStyle="1" w:styleId="scstrikered">
    <w:name w:val="sc_strike_red"/>
    <w:uiPriority w:val="1"/>
    <w:qFormat/>
    <w:rsid w:val="009C6BDB"/>
    <w:rPr>
      <w:strike/>
      <w:dstrike w:val="0"/>
      <w:color w:val="FF0000"/>
    </w:rPr>
  </w:style>
  <w:style w:type="character" w:customStyle="1" w:styleId="scstrikeblue">
    <w:name w:val="sc_strike_blue"/>
    <w:uiPriority w:val="1"/>
    <w:qFormat/>
    <w:rsid w:val="009C6BDB"/>
    <w:rPr>
      <w:strike/>
      <w:dstrike w:val="0"/>
      <w:color w:val="0070C0"/>
    </w:rPr>
  </w:style>
  <w:style w:type="character" w:customStyle="1" w:styleId="scinsertbluenounderline">
    <w:name w:val="sc_insert_blue_no_underline"/>
    <w:uiPriority w:val="1"/>
    <w:qFormat/>
    <w:rsid w:val="009C6BD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C6BD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C6BDB"/>
    <w:rPr>
      <w:strike/>
      <w:dstrike w:val="0"/>
      <w:color w:val="0070C0"/>
      <w:lang w:val="en-US"/>
    </w:rPr>
  </w:style>
  <w:style w:type="character" w:customStyle="1" w:styleId="scstrikerednoncodified">
    <w:name w:val="sc_strike_red_non_codified"/>
    <w:uiPriority w:val="1"/>
    <w:qFormat/>
    <w:rsid w:val="009C6BDB"/>
    <w:rPr>
      <w:strike/>
      <w:dstrike w:val="0"/>
      <w:color w:val="FF0000"/>
    </w:rPr>
  </w:style>
  <w:style w:type="paragraph" w:customStyle="1" w:styleId="scbillsiglines">
    <w:name w:val="sc_bill_sig_lines"/>
    <w:qFormat/>
    <w:rsid w:val="009C6BD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C6BDB"/>
    <w:rPr>
      <w:bdr w:val="none" w:sz="0" w:space="0" w:color="auto"/>
      <w:shd w:val="clear" w:color="auto" w:fill="FEC6C6"/>
    </w:rPr>
  </w:style>
  <w:style w:type="character" w:customStyle="1" w:styleId="screstoreblue">
    <w:name w:val="sc_restore_blue"/>
    <w:uiPriority w:val="1"/>
    <w:qFormat/>
    <w:rsid w:val="009C6BDB"/>
    <w:rPr>
      <w:color w:val="4472C4" w:themeColor="accent1"/>
      <w:bdr w:val="none" w:sz="0" w:space="0" w:color="auto"/>
      <w:shd w:val="clear" w:color="auto" w:fill="auto"/>
    </w:rPr>
  </w:style>
  <w:style w:type="character" w:customStyle="1" w:styleId="screstorered">
    <w:name w:val="sc_restore_red"/>
    <w:uiPriority w:val="1"/>
    <w:qFormat/>
    <w:rsid w:val="009C6BDB"/>
    <w:rPr>
      <w:color w:val="FF0000"/>
      <w:bdr w:val="none" w:sz="0" w:space="0" w:color="auto"/>
      <w:shd w:val="clear" w:color="auto" w:fill="auto"/>
    </w:rPr>
  </w:style>
  <w:style w:type="character" w:customStyle="1" w:styleId="scstrikenewblue">
    <w:name w:val="sc_strike_new_blue"/>
    <w:uiPriority w:val="1"/>
    <w:qFormat/>
    <w:rsid w:val="009C6BDB"/>
    <w:rPr>
      <w:strike w:val="0"/>
      <w:dstrike/>
      <w:color w:val="0070C0"/>
      <w:u w:val="none"/>
    </w:rPr>
  </w:style>
  <w:style w:type="character" w:customStyle="1" w:styleId="scstrikenewred">
    <w:name w:val="sc_strike_new_red"/>
    <w:uiPriority w:val="1"/>
    <w:qFormat/>
    <w:rsid w:val="009C6BDB"/>
    <w:rPr>
      <w:strike w:val="0"/>
      <w:dstrike/>
      <w:color w:val="FF0000"/>
      <w:u w:val="none"/>
    </w:rPr>
  </w:style>
  <w:style w:type="character" w:customStyle="1" w:styleId="scamendsenate">
    <w:name w:val="sc_amend_senate"/>
    <w:uiPriority w:val="1"/>
    <w:qFormat/>
    <w:rsid w:val="009C6BDB"/>
    <w:rPr>
      <w:bdr w:val="none" w:sz="0" w:space="0" w:color="auto"/>
      <w:shd w:val="clear" w:color="auto" w:fill="FFF2CC" w:themeFill="accent4" w:themeFillTint="33"/>
    </w:rPr>
  </w:style>
  <w:style w:type="character" w:customStyle="1" w:styleId="scamendhouse">
    <w:name w:val="sc_amend_house"/>
    <w:uiPriority w:val="1"/>
    <w:qFormat/>
    <w:rsid w:val="009C6BDB"/>
    <w:rPr>
      <w:bdr w:val="none" w:sz="0" w:space="0" w:color="auto"/>
      <w:shd w:val="clear" w:color="auto" w:fill="E2EFD9" w:themeFill="accent6" w:themeFillTint="33"/>
    </w:rPr>
  </w:style>
  <w:style w:type="paragraph" w:styleId="Revision">
    <w:name w:val="Revision"/>
    <w:hidden/>
    <w:uiPriority w:val="99"/>
    <w:semiHidden/>
    <w:rsid w:val="00B601B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50&amp;session=126&amp;summary=B" TargetMode="External" Id="R34ff69b831c54f39" /><Relationship Type="http://schemas.openxmlformats.org/officeDocument/2006/relationships/hyperlink" Target="https://www.scstatehouse.gov/sess126_2025-2026/prever/4050_20250219.docx" TargetMode="External" Id="R3cdca3e4c1b84e05" /><Relationship Type="http://schemas.openxmlformats.org/officeDocument/2006/relationships/hyperlink" Target="h:\hj\20250219.docx" TargetMode="External" Id="R84f9764d8c604009" /><Relationship Type="http://schemas.openxmlformats.org/officeDocument/2006/relationships/hyperlink" Target="h:\hj\20250219.docx" TargetMode="External" Id="Rd255c99974fc4a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329A"/>
    <w:rsid w:val="003E4FBC"/>
    <w:rsid w:val="003F4940"/>
    <w:rsid w:val="004E2BB5"/>
    <w:rsid w:val="00580C56"/>
    <w:rsid w:val="006B363F"/>
    <w:rsid w:val="007070D2"/>
    <w:rsid w:val="00776F2C"/>
    <w:rsid w:val="007E2547"/>
    <w:rsid w:val="008F7723"/>
    <w:rsid w:val="009031EF"/>
    <w:rsid w:val="00912A5F"/>
    <w:rsid w:val="00940EED"/>
    <w:rsid w:val="00985255"/>
    <w:rsid w:val="009C3651"/>
    <w:rsid w:val="00A020EE"/>
    <w:rsid w:val="00A51DBA"/>
    <w:rsid w:val="00B20DA6"/>
    <w:rsid w:val="00B457AF"/>
    <w:rsid w:val="00C818FB"/>
    <w:rsid w:val="00CC0451"/>
    <w:rsid w:val="00D6665C"/>
    <w:rsid w:val="00D900BD"/>
    <w:rsid w:val="00DD3D77"/>
    <w:rsid w:val="00E76813"/>
    <w:rsid w:val="00F82BD9"/>
    <w:rsid w:val="00F92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20d3142e-06ba-4a89-af29-e2017f900120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702701c0-d303-432e-8443-f32053a401b6</T_BILL_REQUEST_REQUEST>
  <T_BILL_R_ORIGINALDRAFT>2f37b244-ae3f-43d2-8325-e30e1f4e245b</T_BILL_R_ORIGINALDRAFT>
  <T_BILL_SPONSOR_SPONSOR>2875d59a-b5c4-4752-bd61-160f6ecc6fbe</T_BILL_SPONSOR_SPONSOR>
  <T_BILL_T_BILLNAME>[4050]</T_BILL_T_BILLNAME>
  <T_BILL_T_BILLNUMBER>4050</T_BILL_T_BILLNUMBER>
  <T_BILL_T_BILLTITLE>TO AMEND THE SOUTH CAROLINA CODE OF LAWS BY AMENDING SECTION 6‑29‑720, RELATING TO ZONING ORDINANCES, SO AS TO DEFINE “CONCURRENCY PROGRAMS”; AND BY AMENDING SECTION 6‑29‑1130, RELATING TO REGULATIONS, SO AS TO INCLUDE A REFERENCE TO AN ADOPTED CONCURRENCY PROGRAM.</T_BILL_T_BILLTITLE>
  <T_BILL_T_CHAMBER>house</T_BILL_T_CHAMBER>
  <T_BILL_T_FILENAME> </T_BILL_T_FILENAME>
  <T_BILL_T_LEGTYPE>bill_statewide</T_BILL_T_LEGTYPE>
  <T_BILL_T_RATNUMBERSTRING>HNone</T_BILL_T_RATNUMBERSTRING>
  <T_BILL_T_SECTIONS>[{"SectionUUID":"16df4af0-4b36-4ee5-9e61-2593c5efdd32","SectionName":"code_section","SectionNumber":1,"SectionType":"code_section","CodeSections":[{"CodeSectionBookmarkName":"cs_T6C29N720_08a86183d","IsConstitutionSection":false,"Identity":"6-29-720","IsNew":false,"SubSections":[{"Level":1,"Identity":"T6C29N720SC","SubSectionBookmarkName":"ss_T6C29N720SC_lv1_5d6e19a8f","IsNewSubSection":false,"SubSectionReplacement":""},{"Level":2,"Identity":"T6C29N720S1","SubSectionBookmarkName":"ss_T6C29N720S1_lv2_d5fc08a06","IsNewSubSection":false,"SubSectionReplacement":""},{"Level":2,"Identity":"T6C29N720S2","SubSectionBookmarkName":"ss_T6C29N720S2_lv2_12bb64d12","IsNewSubSection":false,"SubSectionReplacement":""},{"Level":2,"Identity":"T6C29N720S3","SubSectionBookmarkName":"ss_T6C29N720S3_lv2_6820531ce","IsNewSubSection":false,"SubSectionReplacement":""},{"Level":2,"Identity":"T6C29N720S4","SubSectionBookmarkName":"ss_T6C29N720S4_lv2_55dca87e4","IsNewSubSection":false,"SubSectionReplacement":""},{"Level":2,"Identity":"T6C29N720S5","SubSectionBookmarkName":"ss_T6C29N720S5_lv2_db0210297","IsNewSubSection":false,"SubSectionReplacement":""},{"Level":2,"Identity":"T6C29N720S6","SubSectionBookmarkName":"ss_T6C29N720S6_lv2_db41b9b5c","IsNewSubSection":false,"SubSectionReplacement":""},{"Level":2,"Identity":"T6C29N720S7","SubSectionBookmarkName":"ss_T6C29N720S7_lv2_14b77d160","IsNewSubSection":false,"SubSectionReplacement":""},{"Level":2,"Identity":"T6C29N720S8","SubSectionBookmarkName":"ss_T6C29N720S8_lv2_6a5a6e22a","IsNewSubSection":false,"SubSectionReplacement":""},{"Level":3,"Identity":"T6C29N720Sa","SubSectionBookmarkName":"ss_T6C29N720Sa_lv3_9827e9683","IsNewSubSection":false,"SubSectionReplacement":""},{"Level":3,"Identity":"T6C29N720Sb","SubSectionBookmarkName":"ss_T6C29N720Sb_lv3_752d98bc9","IsNewSubSection":false,"SubSectionReplacement":""},{"Level":3,"Identity":"T6C29N720Sc","SubSectionBookmarkName":"ss_T6C29N720Sc_lv3_a67a64b19","IsNewSubSection":false,"SubSectionReplacement":""},{"Level":3,"Identity":"T6C29N720Sd","SubSectionBookmarkName":"ss_T6C29N720Sd_lv3_d35a8fddc","IsNewSubSection":false,"SubSectionReplacement":""}],"TitleRelatedTo":"Zoning districts;  matters regulated;  uniformity;  zoning techniques.","TitleSoAsTo":"","Deleted":false}],"TitleText":"","DisableControls":false,"Deleted":false,"RepealItems":[],"SectionBookmarkName":"bs_num_1_b2c824170"},{"SectionUUID":"2cf4fd67-d1e9-44e1-98df-9db7bccf4784","SectionName":"code_section","SectionNumber":2,"SectionType":"code_section","CodeSections":[{"CodeSectionBookmarkName":"cs_T6C29N1130_a86350936","IsConstitutionSection":false,"Identity":"6-29-1130","IsNew":false,"SubSections":[{"Level":1,"Identity":"T6C29N1130SA","SubSectionBookmarkName":"ss_T6C29N1130SA_lv1_f6239e55b","IsNewSubSection":false,"SubSectionReplacement":""}],"TitleRelatedTo":"Regulations","TitleSoAsTo":"include a reference to an adopted concurrency program","Deleted":false}],"TitleText":"","DisableControls":false,"Deleted":false,"RepealItems":[],"SectionBookmarkName":"bs_num_2_b628dd697"},{"SectionUUID":"8f03ca95-8faa-4d43-a9c2-8afc498075bd","SectionName":"standard_eff_date_section","SectionNumber":3,"SectionType":"drafting_clause","CodeSections":[],"TitleText":"","DisableControls":false,"Deleted":false,"RepealItems":[],"SectionBookmarkName":"bs_num_3_lastsection"}]</T_BILL_T_SECTIONS>
  <T_BILL_T_SUBJECT>Local planning</T_BILL_T_SUBJECT>
  <T_BILL_UR_DRAFTER>pagehilton@scstatehouse.gov</T_BILL_UR_DRAFTER>
  <T_BILL_UR_DRAFTINGASSISTANT>julienewboult@scstatehouse.gov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EB9C156-C70F-4D33-812C-96A9544DBBD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4883</Characters>
  <Application>Microsoft Office Word</Application>
  <DocSecurity>0</DocSecurity>
  <Lines>106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3</cp:revision>
  <cp:lastPrinted>2025-02-05T18:16:00Z</cp:lastPrinted>
  <dcterms:created xsi:type="dcterms:W3CDTF">2025-02-19T16:45:00Z</dcterms:created>
  <dcterms:modified xsi:type="dcterms:W3CDTF">2025-02-19T16:45:00Z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